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C4B923">
      <w:pPr>
        <w:autoSpaceDE w:val="0"/>
        <w:autoSpaceDN w:val="0"/>
        <w:spacing w:before="100" w:beforeAutospacing="1" w:after="100" w:afterAutospacing="1" w:line="560" w:lineRule="exact"/>
        <w:jc w:val="center"/>
        <w:rPr>
          <w:rFonts w:ascii="方正小标宋简体" w:eastAsia="方正小标宋简体"/>
          <w:b/>
          <w:bCs/>
          <w:sz w:val="28"/>
          <w:szCs w:val="28"/>
        </w:rPr>
      </w:pPr>
    </w:p>
    <w:p w14:paraId="65AAA724">
      <w:pPr>
        <w:autoSpaceDE w:val="0"/>
        <w:autoSpaceDN w:val="0"/>
        <w:spacing w:before="100" w:beforeAutospacing="1" w:after="100" w:afterAutospacing="1" w:line="560" w:lineRule="exact"/>
        <w:jc w:val="center"/>
        <w:rPr>
          <w:rFonts w:hint="eastAsia" w:ascii="黑体" w:hAnsi="黑体" w:eastAsia="黑体"/>
          <w:b/>
          <w:bCs/>
          <w:sz w:val="40"/>
          <w:szCs w:val="40"/>
        </w:rPr>
      </w:pPr>
      <w:r>
        <w:rPr>
          <w:rFonts w:hint="eastAsia" w:ascii="黑体" w:hAnsi="黑体" w:eastAsia="黑体"/>
          <w:b/>
          <w:bCs/>
          <w:sz w:val="40"/>
          <w:szCs w:val="40"/>
        </w:rPr>
        <w:t>《</w:t>
      </w:r>
      <w:r>
        <w:rPr>
          <w:rFonts w:hint="eastAsia" w:ascii="黑体" w:hAnsi="黑体" w:eastAsia="黑体"/>
          <w:b/>
          <w:color w:val="000000"/>
          <w:sz w:val="40"/>
          <w:szCs w:val="40"/>
          <w:lang w:val="en-US" w:eastAsia="zh-CN"/>
        </w:rPr>
        <w:t>绿色肥料产品评价规范</w:t>
      </w:r>
      <w:r>
        <w:rPr>
          <w:rFonts w:hint="eastAsia" w:ascii="黑体" w:hAnsi="黑体" w:eastAsia="黑体"/>
          <w:b/>
          <w:bCs/>
          <w:sz w:val="40"/>
          <w:szCs w:val="40"/>
        </w:rPr>
        <w:t>》</w:t>
      </w:r>
    </w:p>
    <w:p w14:paraId="24D20BC1">
      <w:pPr>
        <w:autoSpaceDE w:val="0"/>
        <w:autoSpaceDN w:val="0"/>
        <w:spacing w:before="100" w:beforeAutospacing="1" w:after="100" w:afterAutospacing="1" w:line="560" w:lineRule="exact"/>
        <w:jc w:val="center"/>
        <w:rPr>
          <w:rFonts w:hint="eastAsia" w:eastAsia="黑体"/>
          <w:b/>
          <w:bCs/>
          <w:sz w:val="30"/>
          <w:szCs w:val="30"/>
          <w:lang w:eastAsia="zh-CN"/>
        </w:rPr>
      </w:pPr>
      <w:r>
        <w:rPr>
          <w:rFonts w:hint="eastAsia" w:ascii="黑体" w:hAnsi="黑体" w:eastAsia="黑体"/>
          <w:b/>
          <w:bCs/>
          <w:sz w:val="30"/>
          <w:szCs w:val="30"/>
          <w:lang w:val="en-US" w:eastAsia="zh-CN"/>
        </w:rPr>
        <w:t>团体标准</w:t>
      </w:r>
    </w:p>
    <w:p w14:paraId="6CCF6186">
      <w:pPr>
        <w:autoSpaceDE w:val="0"/>
        <w:autoSpaceDN w:val="0"/>
        <w:spacing w:before="100" w:beforeAutospacing="1" w:after="100" w:afterAutospacing="1" w:line="560" w:lineRule="exact"/>
        <w:jc w:val="center"/>
        <w:outlineLvl w:val="0"/>
        <w:rPr>
          <w:rFonts w:hint="eastAsia" w:ascii="黑体" w:hAnsi="黑体" w:eastAsia="黑体"/>
          <w:b/>
          <w:bCs/>
          <w:sz w:val="30"/>
          <w:szCs w:val="30"/>
        </w:rPr>
      </w:pPr>
      <w:bookmarkStart w:id="0" w:name="_Toc26872"/>
      <w:bookmarkStart w:id="1" w:name="_Toc21897"/>
      <w:bookmarkStart w:id="2" w:name="_Toc27037"/>
      <w:bookmarkStart w:id="3" w:name="_Toc13932"/>
      <w:bookmarkStart w:id="4" w:name="_Toc10176"/>
      <w:bookmarkStart w:id="5" w:name="_Toc14293"/>
      <w:bookmarkStart w:id="6" w:name="_Toc6073"/>
      <w:bookmarkStart w:id="7" w:name="_Toc87644317"/>
      <w:bookmarkStart w:id="8" w:name="_Toc16990"/>
      <w:bookmarkStart w:id="9" w:name="_Toc1662"/>
      <w:bookmarkStart w:id="10" w:name="_Toc7845"/>
      <w:r>
        <w:rPr>
          <w:rFonts w:hint="eastAsia" w:ascii="黑体" w:hAnsi="黑体" w:eastAsia="黑体"/>
          <w:b/>
          <w:bCs/>
          <w:sz w:val="30"/>
          <w:szCs w:val="30"/>
        </w:rPr>
        <w:t>（征求意见稿）</w:t>
      </w:r>
      <w:bookmarkEnd w:id="0"/>
      <w:bookmarkEnd w:id="1"/>
      <w:bookmarkEnd w:id="2"/>
      <w:bookmarkEnd w:id="3"/>
      <w:bookmarkEnd w:id="4"/>
      <w:bookmarkEnd w:id="5"/>
      <w:bookmarkEnd w:id="6"/>
      <w:bookmarkEnd w:id="7"/>
      <w:bookmarkEnd w:id="8"/>
      <w:bookmarkEnd w:id="9"/>
      <w:bookmarkEnd w:id="10"/>
    </w:p>
    <w:p w14:paraId="2D1681EF">
      <w:pPr>
        <w:autoSpaceDE w:val="0"/>
        <w:autoSpaceDN w:val="0"/>
        <w:spacing w:before="100" w:beforeAutospacing="1" w:after="100" w:afterAutospacing="1" w:line="560" w:lineRule="exact"/>
        <w:jc w:val="center"/>
        <w:rPr>
          <w:rFonts w:eastAsia="仿宋_GB2312"/>
          <w:b/>
          <w:bCs/>
          <w:sz w:val="28"/>
          <w:szCs w:val="28"/>
        </w:rPr>
      </w:pPr>
    </w:p>
    <w:p w14:paraId="0397B06C">
      <w:pPr>
        <w:autoSpaceDE w:val="0"/>
        <w:autoSpaceDN w:val="0"/>
        <w:spacing w:before="100" w:beforeAutospacing="1" w:after="100" w:afterAutospacing="1" w:line="560" w:lineRule="exact"/>
        <w:jc w:val="center"/>
        <w:rPr>
          <w:rFonts w:eastAsia="仿宋_GB2312"/>
          <w:b/>
          <w:bCs/>
          <w:sz w:val="28"/>
          <w:szCs w:val="28"/>
        </w:rPr>
      </w:pPr>
    </w:p>
    <w:p w14:paraId="4871A8CC">
      <w:pPr>
        <w:autoSpaceDE w:val="0"/>
        <w:autoSpaceDN w:val="0"/>
        <w:spacing w:before="100" w:beforeAutospacing="1" w:after="100" w:afterAutospacing="1" w:line="560" w:lineRule="exact"/>
        <w:jc w:val="center"/>
        <w:rPr>
          <w:rFonts w:eastAsia="仿宋_GB2312"/>
          <w:b/>
          <w:bCs/>
          <w:sz w:val="28"/>
          <w:szCs w:val="28"/>
        </w:rPr>
      </w:pPr>
    </w:p>
    <w:p w14:paraId="1CCF023E">
      <w:pPr>
        <w:autoSpaceDE w:val="0"/>
        <w:autoSpaceDN w:val="0"/>
        <w:spacing w:before="100" w:beforeAutospacing="1" w:after="100" w:afterAutospacing="1" w:line="560" w:lineRule="exact"/>
        <w:jc w:val="center"/>
        <w:rPr>
          <w:rFonts w:hint="eastAsia" w:ascii="黑体" w:hAnsi="黑体"/>
          <w:b/>
          <w:bCs/>
          <w:sz w:val="44"/>
          <w:szCs w:val="28"/>
        </w:rPr>
      </w:pPr>
      <w:r>
        <w:rPr>
          <w:rFonts w:hint="eastAsia" w:ascii="黑体" w:hAnsi="黑体"/>
          <w:b/>
          <w:bCs/>
          <w:sz w:val="44"/>
          <w:szCs w:val="28"/>
        </w:rPr>
        <w:t>编制说明</w:t>
      </w:r>
    </w:p>
    <w:p w14:paraId="0E395A5D">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75B6512C">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016EA470">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5F26B68B">
      <w:pPr>
        <w:autoSpaceDE w:val="0"/>
        <w:autoSpaceDN w:val="0"/>
        <w:spacing w:before="100" w:beforeAutospacing="1" w:after="100" w:afterAutospacing="1" w:line="560" w:lineRule="exact"/>
        <w:jc w:val="center"/>
        <w:rPr>
          <w:rFonts w:hint="eastAsia" w:ascii="黑体" w:hAnsi="黑体" w:eastAsia="黑体"/>
          <w:b/>
          <w:bCs/>
          <w:color w:val="000000"/>
          <w:sz w:val="28"/>
          <w:szCs w:val="28"/>
        </w:rPr>
      </w:pPr>
    </w:p>
    <w:p w14:paraId="57AA26BF">
      <w:pPr>
        <w:autoSpaceDE w:val="0"/>
        <w:autoSpaceDN w:val="0"/>
        <w:spacing w:before="100" w:beforeAutospacing="1" w:after="100" w:afterAutospacing="1" w:line="560" w:lineRule="exact"/>
        <w:jc w:val="center"/>
        <w:rPr>
          <w:rFonts w:hint="eastAsia" w:ascii="黑体" w:hAnsi="黑体"/>
          <w:b/>
          <w:bCs/>
          <w:color w:val="000000"/>
          <w:sz w:val="32"/>
          <w:szCs w:val="28"/>
        </w:rPr>
      </w:pPr>
      <w:r>
        <w:rPr>
          <w:rFonts w:hint="eastAsia" w:ascii="黑体" w:hAnsi="黑体"/>
          <w:b/>
          <w:bCs/>
          <w:color w:val="000000"/>
          <w:sz w:val="32"/>
          <w:szCs w:val="28"/>
        </w:rPr>
        <w:t>标准编制工作组</w:t>
      </w:r>
    </w:p>
    <w:p w14:paraId="6EEF7677">
      <w:pPr>
        <w:autoSpaceDE w:val="0"/>
        <w:autoSpaceDN w:val="0"/>
        <w:spacing w:before="100" w:beforeAutospacing="1" w:after="100" w:afterAutospacing="1" w:line="560" w:lineRule="exact"/>
        <w:jc w:val="center"/>
        <w:rPr>
          <w:b/>
          <w:sz w:val="32"/>
        </w:rPr>
      </w:pPr>
      <w:r>
        <w:rPr>
          <w:rFonts w:hint="eastAsia"/>
          <w:b/>
          <w:sz w:val="32"/>
        </w:rPr>
        <w:t>二〇二六年</w:t>
      </w:r>
      <w:r>
        <w:rPr>
          <w:rFonts w:hint="eastAsia"/>
          <w:b/>
          <w:sz w:val="32"/>
          <w:lang w:val="en-US" w:eastAsia="zh-CN"/>
        </w:rPr>
        <w:t>八</w:t>
      </w:r>
      <w:r>
        <w:rPr>
          <w:rFonts w:hint="eastAsia"/>
          <w:b/>
          <w:sz w:val="32"/>
        </w:rPr>
        <w:t>月</w:t>
      </w:r>
    </w:p>
    <w:p w14:paraId="670500A5">
      <w:pPr>
        <w:jc w:val="left"/>
        <w:rPr>
          <w:sz w:val="24"/>
        </w:rPr>
      </w:pPr>
      <w:r>
        <w:rPr>
          <w:rFonts w:hint="eastAsia"/>
          <w:b/>
          <w:sz w:val="32"/>
        </w:rPr>
        <w:br w:type="page"/>
      </w:r>
    </w:p>
    <w:p w14:paraId="08FA4AC7">
      <w:pPr>
        <w:pStyle w:val="33"/>
        <w:rPr>
          <w:rFonts w:hint="eastAsia" w:hAnsi="宋体"/>
          <w:b/>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134" w:right="1287" w:bottom="1134" w:left="1797" w:header="851" w:footer="992" w:gutter="0"/>
          <w:pgNumType w:fmt="upperRoman" w:start="1"/>
          <w:cols w:space="720" w:num="1"/>
          <w:titlePg/>
          <w:docGrid w:type="lines" w:linePitch="312" w:charSpace="0"/>
        </w:sectPr>
      </w:pPr>
    </w:p>
    <w:p w14:paraId="45AD7359">
      <w:pPr>
        <w:jc w:val="center"/>
        <w:rPr>
          <w:rFonts w:hint="eastAsia" w:ascii="黑体" w:hAnsi="黑体" w:eastAsia="黑体" w:cs="黑体"/>
          <w:sz w:val="44"/>
          <w:szCs w:val="44"/>
        </w:rPr>
      </w:pPr>
    </w:p>
    <w:p w14:paraId="507C063C">
      <w:pPr>
        <w:jc w:val="center"/>
        <w:rPr>
          <w:rFonts w:hint="eastAsia" w:ascii="黑体" w:hAnsi="黑体" w:eastAsia="黑体" w:cs="黑体"/>
          <w:sz w:val="44"/>
          <w:szCs w:val="44"/>
        </w:rPr>
      </w:pPr>
      <w:r>
        <w:rPr>
          <w:rFonts w:hint="eastAsia" w:ascii="黑体" w:hAnsi="黑体" w:eastAsia="黑体" w:cs="黑体"/>
          <w:sz w:val="44"/>
          <w:szCs w:val="44"/>
        </w:rPr>
        <w:t>目录</w:t>
      </w:r>
    </w:p>
    <w:p w14:paraId="7C30C495">
      <w:pPr>
        <w:pStyle w:val="11"/>
        <w:tabs>
          <w:tab w:val="right" w:leader="dot" w:pos="8822"/>
        </w:tabs>
      </w:pPr>
      <w:r>
        <w:rPr>
          <w:sz w:val="28"/>
          <w:szCs w:val="28"/>
        </w:rPr>
        <w:fldChar w:fldCharType="begin"/>
      </w:r>
      <w:r>
        <w:rPr>
          <w:sz w:val="28"/>
          <w:szCs w:val="28"/>
        </w:rPr>
        <w:instrText xml:space="preserve"> TOC \o "1-1" \h \z \u </w:instrText>
      </w:r>
      <w:r>
        <w:rPr>
          <w:sz w:val="28"/>
          <w:szCs w:val="28"/>
        </w:rPr>
        <w:fldChar w:fldCharType="separate"/>
      </w:r>
      <w:r>
        <w:rPr>
          <w:szCs w:val="28"/>
        </w:rPr>
        <w:fldChar w:fldCharType="begin"/>
      </w:r>
      <w:r>
        <w:rPr>
          <w:szCs w:val="28"/>
        </w:rPr>
        <w:instrText xml:space="preserve"> HYPERLINK \l _Toc637419161 </w:instrText>
      </w:r>
      <w:r>
        <w:rPr>
          <w:szCs w:val="28"/>
        </w:rPr>
        <w:fldChar w:fldCharType="separate"/>
      </w:r>
      <w:r>
        <w:rPr>
          <w:bCs/>
          <w:szCs w:val="28"/>
        </w:rPr>
        <w:t>一、工作简况</w:t>
      </w:r>
      <w:r>
        <w:tab/>
      </w:r>
      <w:r>
        <w:fldChar w:fldCharType="begin"/>
      </w:r>
      <w:r>
        <w:instrText xml:space="preserve"> PAGEREF _Toc637419161 \h </w:instrText>
      </w:r>
      <w:r>
        <w:fldChar w:fldCharType="separate"/>
      </w:r>
      <w:r>
        <w:t>1</w:t>
      </w:r>
      <w:r>
        <w:fldChar w:fldCharType="end"/>
      </w:r>
      <w:r>
        <w:rPr>
          <w:szCs w:val="28"/>
        </w:rPr>
        <w:fldChar w:fldCharType="end"/>
      </w:r>
    </w:p>
    <w:p w14:paraId="79F48987">
      <w:pPr>
        <w:pStyle w:val="11"/>
        <w:tabs>
          <w:tab w:val="right" w:leader="dot" w:pos="8822"/>
        </w:tabs>
      </w:pPr>
      <w:r>
        <w:rPr>
          <w:szCs w:val="28"/>
        </w:rPr>
        <w:fldChar w:fldCharType="begin"/>
      </w:r>
      <w:r>
        <w:rPr>
          <w:szCs w:val="28"/>
        </w:rPr>
        <w:instrText xml:space="preserve"> HYPERLINK \l _Toc1223645270 </w:instrText>
      </w:r>
      <w:r>
        <w:rPr>
          <w:szCs w:val="28"/>
        </w:rPr>
        <w:fldChar w:fldCharType="separate"/>
      </w:r>
      <w:r>
        <w:rPr>
          <w:bCs/>
          <w:szCs w:val="28"/>
        </w:rPr>
        <w:t>二、标准编制原则、主要内容及其确定依据</w:t>
      </w:r>
      <w:r>
        <w:tab/>
      </w:r>
      <w:r>
        <w:fldChar w:fldCharType="begin"/>
      </w:r>
      <w:r>
        <w:instrText xml:space="preserve"> PAGEREF _Toc1223645270 \h </w:instrText>
      </w:r>
      <w:r>
        <w:fldChar w:fldCharType="separate"/>
      </w:r>
      <w:r>
        <w:t>4</w:t>
      </w:r>
      <w:r>
        <w:fldChar w:fldCharType="end"/>
      </w:r>
      <w:r>
        <w:rPr>
          <w:szCs w:val="28"/>
        </w:rPr>
        <w:fldChar w:fldCharType="end"/>
      </w:r>
    </w:p>
    <w:p w14:paraId="6BB0CBE6">
      <w:pPr>
        <w:pStyle w:val="11"/>
        <w:tabs>
          <w:tab w:val="right" w:leader="dot" w:pos="8822"/>
        </w:tabs>
      </w:pPr>
      <w:r>
        <w:rPr>
          <w:szCs w:val="28"/>
        </w:rPr>
        <w:fldChar w:fldCharType="begin"/>
      </w:r>
      <w:r>
        <w:rPr>
          <w:szCs w:val="28"/>
        </w:rPr>
        <w:instrText xml:space="preserve"> HYPERLINK \l _Toc1833928056 </w:instrText>
      </w:r>
      <w:r>
        <w:rPr>
          <w:szCs w:val="28"/>
        </w:rPr>
        <w:fldChar w:fldCharType="separate"/>
      </w:r>
      <w:r>
        <w:rPr>
          <w:rFonts w:hint="eastAsia"/>
          <w:bCs/>
          <w:szCs w:val="28"/>
        </w:rPr>
        <w:t>三、</w:t>
      </w:r>
      <w:r>
        <w:rPr>
          <w:bCs/>
          <w:szCs w:val="28"/>
        </w:rPr>
        <w:t>试验验证的分析、综述报告，技术经济论证，预期的经济效益、社会效益和生态效益</w:t>
      </w:r>
      <w:r>
        <w:tab/>
      </w:r>
      <w:r>
        <w:fldChar w:fldCharType="begin"/>
      </w:r>
      <w:r>
        <w:instrText xml:space="preserve"> PAGEREF _Toc1833928056 \h </w:instrText>
      </w:r>
      <w:r>
        <w:fldChar w:fldCharType="separate"/>
      </w:r>
      <w:r>
        <w:t>8</w:t>
      </w:r>
      <w:r>
        <w:fldChar w:fldCharType="end"/>
      </w:r>
      <w:r>
        <w:rPr>
          <w:szCs w:val="28"/>
        </w:rPr>
        <w:fldChar w:fldCharType="end"/>
      </w:r>
    </w:p>
    <w:p w14:paraId="0AD6216D">
      <w:pPr>
        <w:pStyle w:val="11"/>
        <w:tabs>
          <w:tab w:val="right" w:leader="dot" w:pos="8822"/>
        </w:tabs>
      </w:pPr>
      <w:r>
        <w:rPr>
          <w:szCs w:val="28"/>
        </w:rPr>
        <w:fldChar w:fldCharType="begin"/>
      </w:r>
      <w:r>
        <w:rPr>
          <w:szCs w:val="28"/>
        </w:rPr>
        <w:instrText xml:space="preserve"> HYPERLINK \l _Toc1240362773 </w:instrText>
      </w:r>
      <w:r>
        <w:rPr>
          <w:szCs w:val="28"/>
        </w:rPr>
        <w:fldChar w:fldCharType="separate"/>
      </w:r>
      <w:r>
        <w:rPr>
          <w:rFonts w:hint="eastAsia"/>
          <w:bCs/>
          <w:szCs w:val="28"/>
        </w:rPr>
        <w:t>四、与国际、国外同类标准技术内容的对比情况</w:t>
      </w:r>
      <w:r>
        <w:tab/>
      </w:r>
      <w:r>
        <w:fldChar w:fldCharType="begin"/>
      </w:r>
      <w:r>
        <w:instrText xml:space="preserve"> PAGEREF _Toc1240362773 \h </w:instrText>
      </w:r>
      <w:r>
        <w:fldChar w:fldCharType="separate"/>
      </w:r>
      <w:r>
        <w:t>10</w:t>
      </w:r>
      <w:r>
        <w:fldChar w:fldCharType="end"/>
      </w:r>
      <w:r>
        <w:rPr>
          <w:szCs w:val="28"/>
        </w:rPr>
        <w:fldChar w:fldCharType="end"/>
      </w:r>
    </w:p>
    <w:p w14:paraId="226F50D5">
      <w:pPr>
        <w:pStyle w:val="11"/>
        <w:tabs>
          <w:tab w:val="right" w:leader="dot" w:pos="8822"/>
        </w:tabs>
      </w:pPr>
      <w:r>
        <w:rPr>
          <w:szCs w:val="28"/>
        </w:rPr>
        <w:fldChar w:fldCharType="begin"/>
      </w:r>
      <w:r>
        <w:rPr>
          <w:szCs w:val="28"/>
        </w:rPr>
        <w:instrText xml:space="preserve"> HYPERLINK \l _Toc2145645297 </w:instrText>
      </w:r>
      <w:r>
        <w:rPr>
          <w:szCs w:val="28"/>
        </w:rPr>
        <w:fldChar w:fldCharType="separate"/>
      </w:r>
      <w:r>
        <w:rPr>
          <w:rFonts w:hint="eastAsia"/>
          <w:bCs/>
          <w:szCs w:val="28"/>
        </w:rPr>
        <w:t>五、以国际标准为基础的起草情况，以及是否合规引用或者采用国际国外标准，并说明未采用国际标准的原因</w:t>
      </w:r>
      <w:r>
        <w:tab/>
      </w:r>
      <w:r>
        <w:fldChar w:fldCharType="begin"/>
      </w:r>
      <w:r>
        <w:instrText xml:space="preserve"> PAGEREF _Toc2145645297 \h </w:instrText>
      </w:r>
      <w:r>
        <w:fldChar w:fldCharType="separate"/>
      </w:r>
      <w:r>
        <w:t>10</w:t>
      </w:r>
      <w:r>
        <w:fldChar w:fldCharType="end"/>
      </w:r>
      <w:r>
        <w:rPr>
          <w:szCs w:val="28"/>
        </w:rPr>
        <w:fldChar w:fldCharType="end"/>
      </w:r>
    </w:p>
    <w:p w14:paraId="0AC3CEFB">
      <w:pPr>
        <w:pStyle w:val="11"/>
        <w:tabs>
          <w:tab w:val="right" w:leader="dot" w:pos="8822"/>
        </w:tabs>
      </w:pPr>
      <w:r>
        <w:rPr>
          <w:szCs w:val="28"/>
        </w:rPr>
        <w:fldChar w:fldCharType="begin"/>
      </w:r>
      <w:r>
        <w:rPr>
          <w:szCs w:val="28"/>
        </w:rPr>
        <w:instrText xml:space="preserve"> HYPERLINK \l _Toc150905302 </w:instrText>
      </w:r>
      <w:r>
        <w:rPr>
          <w:szCs w:val="28"/>
        </w:rPr>
        <w:fldChar w:fldCharType="separate"/>
      </w:r>
      <w:r>
        <w:rPr>
          <w:rFonts w:hint="eastAsia"/>
          <w:bCs/>
          <w:szCs w:val="28"/>
        </w:rPr>
        <w:t>六、与有关法律、行政法规及相关标准的关系</w:t>
      </w:r>
      <w:r>
        <w:tab/>
      </w:r>
      <w:r>
        <w:fldChar w:fldCharType="begin"/>
      </w:r>
      <w:r>
        <w:instrText xml:space="preserve"> PAGEREF _Toc150905302 \h </w:instrText>
      </w:r>
      <w:r>
        <w:fldChar w:fldCharType="separate"/>
      </w:r>
      <w:r>
        <w:t>10</w:t>
      </w:r>
      <w:r>
        <w:fldChar w:fldCharType="end"/>
      </w:r>
      <w:r>
        <w:rPr>
          <w:szCs w:val="28"/>
        </w:rPr>
        <w:fldChar w:fldCharType="end"/>
      </w:r>
    </w:p>
    <w:p w14:paraId="651297B4">
      <w:pPr>
        <w:pStyle w:val="11"/>
        <w:tabs>
          <w:tab w:val="right" w:leader="dot" w:pos="8822"/>
        </w:tabs>
      </w:pPr>
      <w:r>
        <w:rPr>
          <w:szCs w:val="28"/>
        </w:rPr>
        <w:fldChar w:fldCharType="begin"/>
      </w:r>
      <w:r>
        <w:rPr>
          <w:szCs w:val="28"/>
        </w:rPr>
        <w:instrText xml:space="preserve"> HYPERLINK \l _Toc1069987693 </w:instrText>
      </w:r>
      <w:r>
        <w:rPr>
          <w:szCs w:val="28"/>
        </w:rPr>
        <w:fldChar w:fldCharType="separate"/>
      </w:r>
      <w:r>
        <w:rPr>
          <w:rFonts w:hint="eastAsia"/>
          <w:bCs/>
          <w:szCs w:val="28"/>
        </w:rPr>
        <w:t>七、重大分歧意见的处理经过和依据</w:t>
      </w:r>
      <w:r>
        <w:tab/>
      </w:r>
      <w:r>
        <w:fldChar w:fldCharType="begin"/>
      </w:r>
      <w:r>
        <w:instrText xml:space="preserve"> PAGEREF _Toc1069987693 \h </w:instrText>
      </w:r>
      <w:r>
        <w:fldChar w:fldCharType="separate"/>
      </w:r>
      <w:r>
        <w:t>10</w:t>
      </w:r>
      <w:r>
        <w:fldChar w:fldCharType="end"/>
      </w:r>
      <w:r>
        <w:rPr>
          <w:szCs w:val="28"/>
        </w:rPr>
        <w:fldChar w:fldCharType="end"/>
      </w:r>
    </w:p>
    <w:p w14:paraId="097846FB">
      <w:pPr>
        <w:pStyle w:val="11"/>
        <w:tabs>
          <w:tab w:val="right" w:leader="dot" w:pos="8822"/>
        </w:tabs>
      </w:pPr>
      <w:r>
        <w:rPr>
          <w:szCs w:val="28"/>
        </w:rPr>
        <w:fldChar w:fldCharType="begin"/>
      </w:r>
      <w:r>
        <w:rPr>
          <w:szCs w:val="28"/>
        </w:rPr>
        <w:instrText xml:space="preserve"> HYPERLINK \l _Toc753576829 </w:instrText>
      </w:r>
      <w:r>
        <w:rPr>
          <w:szCs w:val="28"/>
        </w:rPr>
        <w:fldChar w:fldCharType="separate"/>
      </w:r>
      <w:r>
        <w:rPr>
          <w:rFonts w:hint="eastAsia"/>
          <w:bCs/>
          <w:szCs w:val="28"/>
        </w:rPr>
        <w:t>八、涉及专利的有关说明</w:t>
      </w:r>
      <w:r>
        <w:tab/>
      </w:r>
      <w:r>
        <w:fldChar w:fldCharType="begin"/>
      </w:r>
      <w:r>
        <w:instrText xml:space="preserve"> PAGEREF _Toc753576829 \h </w:instrText>
      </w:r>
      <w:r>
        <w:fldChar w:fldCharType="separate"/>
      </w:r>
      <w:r>
        <w:t>10</w:t>
      </w:r>
      <w:r>
        <w:fldChar w:fldCharType="end"/>
      </w:r>
      <w:r>
        <w:rPr>
          <w:szCs w:val="28"/>
        </w:rPr>
        <w:fldChar w:fldCharType="end"/>
      </w:r>
    </w:p>
    <w:p w14:paraId="5C0196DF">
      <w:pPr>
        <w:pStyle w:val="11"/>
        <w:tabs>
          <w:tab w:val="right" w:leader="dot" w:pos="8822"/>
        </w:tabs>
      </w:pPr>
      <w:r>
        <w:rPr>
          <w:szCs w:val="28"/>
        </w:rPr>
        <w:fldChar w:fldCharType="begin"/>
      </w:r>
      <w:r>
        <w:rPr>
          <w:szCs w:val="28"/>
        </w:rPr>
        <w:instrText xml:space="preserve"> HYPERLINK \l _Toc959940470 </w:instrText>
      </w:r>
      <w:r>
        <w:rPr>
          <w:szCs w:val="28"/>
        </w:rPr>
        <w:fldChar w:fldCharType="separate"/>
      </w:r>
      <w:r>
        <w:rPr>
          <w:rFonts w:hint="eastAsia"/>
          <w:bCs/>
          <w:szCs w:val="28"/>
        </w:rPr>
        <w:t>九、实施行业标准的要求，以及组织措施、技术措施、过渡期和实施日期的建议等措施建议</w:t>
      </w:r>
      <w:r>
        <w:tab/>
      </w:r>
      <w:r>
        <w:fldChar w:fldCharType="begin"/>
      </w:r>
      <w:r>
        <w:instrText xml:space="preserve"> PAGEREF _Toc959940470 \h </w:instrText>
      </w:r>
      <w:r>
        <w:fldChar w:fldCharType="separate"/>
      </w:r>
      <w:r>
        <w:t>10</w:t>
      </w:r>
      <w:r>
        <w:fldChar w:fldCharType="end"/>
      </w:r>
      <w:r>
        <w:rPr>
          <w:szCs w:val="28"/>
        </w:rPr>
        <w:fldChar w:fldCharType="end"/>
      </w:r>
    </w:p>
    <w:p w14:paraId="325DCBA1">
      <w:pPr>
        <w:pStyle w:val="11"/>
        <w:tabs>
          <w:tab w:val="right" w:leader="dot" w:pos="8822"/>
        </w:tabs>
      </w:pPr>
      <w:r>
        <w:rPr>
          <w:szCs w:val="28"/>
        </w:rPr>
        <w:fldChar w:fldCharType="begin"/>
      </w:r>
      <w:r>
        <w:rPr>
          <w:szCs w:val="28"/>
        </w:rPr>
        <w:instrText xml:space="preserve"> HYPERLINK \l _Toc623304143 </w:instrText>
      </w:r>
      <w:r>
        <w:rPr>
          <w:szCs w:val="28"/>
        </w:rPr>
        <w:fldChar w:fldCharType="separate"/>
      </w:r>
      <w:r>
        <w:rPr>
          <w:rFonts w:hint="eastAsia"/>
          <w:bCs/>
          <w:szCs w:val="28"/>
        </w:rPr>
        <w:t>十、其他应当说明的事项</w:t>
      </w:r>
      <w:r>
        <w:tab/>
      </w:r>
      <w:r>
        <w:fldChar w:fldCharType="begin"/>
      </w:r>
      <w:r>
        <w:instrText xml:space="preserve"> PAGEREF _Toc623304143 \h </w:instrText>
      </w:r>
      <w:r>
        <w:fldChar w:fldCharType="separate"/>
      </w:r>
      <w:r>
        <w:t>10</w:t>
      </w:r>
      <w:r>
        <w:fldChar w:fldCharType="end"/>
      </w:r>
      <w:r>
        <w:rPr>
          <w:szCs w:val="28"/>
        </w:rPr>
        <w:fldChar w:fldCharType="end"/>
      </w:r>
    </w:p>
    <w:p w14:paraId="460F5369">
      <w:pPr>
        <w:pStyle w:val="11"/>
        <w:widowControl/>
        <w:tabs>
          <w:tab w:val="right" w:leader="dot" w:pos="8306"/>
        </w:tabs>
        <w:rPr>
          <w:rFonts w:hint="eastAsia" w:ascii="宋体" w:hAnsi="宋体"/>
          <w:b/>
          <w:sz w:val="30"/>
          <w:szCs w:val="30"/>
        </w:rPr>
      </w:pPr>
      <w:r>
        <w:rPr>
          <w:szCs w:val="28"/>
        </w:rPr>
        <w:fldChar w:fldCharType="end"/>
      </w:r>
    </w:p>
    <w:p w14:paraId="271FE242">
      <w:pPr>
        <w:jc w:val="center"/>
        <w:rPr>
          <w:rFonts w:hint="eastAsia" w:ascii="宋体" w:hAnsi="宋体"/>
          <w:b/>
          <w:sz w:val="30"/>
          <w:szCs w:val="30"/>
        </w:rPr>
      </w:pPr>
    </w:p>
    <w:p w14:paraId="78AD81EF">
      <w:pPr>
        <w:jc w:val="center"/>
        <w:rPr>
          <w:rFonts w:hint="eastAsia" w:ascii="宋体" w:hAnsi="宋体"/>
          <w:b/>
          <w:sz w:val="30"/>
          <w:szCs w:val="30"/>
        </w:rPr>
      </w:pPr>
    </w:p>
    <w:p w14:paraId="3BF8708E">
      <w:pPr>
        <w:jc w:val="center"/>
        <w:rPr>
          <w:rFonts w:hint="eastAsia" w:ascii="宋体" w:hAnsi="宋体"/>
          <w:b/>
          <w:sz w:val="30"/>
          <w:szCs w:val="30"/>
        </w:rPr>
      </w:pPr>
    </w:p>
    <w:p w14:paraId="2E16AC6E">
      <w:pPr>
        <w:jc w:val="center"/>
        <w:rPr>
          <w:rFonts w:hint="eastAsia" w:ascii="宋体" w:hAnsi="宋体"/>
          <w:b/>
          <w:sz w:val="30"/>
          <w:szCs w:val="30"/>
        </w:rPr>
      </w:pPr>
    </w:p>
    <w:p w14:paraId="296F0AD5">
      <w:pPr>
        <w:jc w:val="center"/>
        <w:rPr>
          <w:rFonts w:hint="eastAsia" w:ascii="宋体" w:hAnsi="宋体"/>
          <w:b/>
          <w:sz w:val="30"/>
          <w:szCs w:val="30"/>
        </w:rPr>
      </w:pPr>
    </w:p>
    <w:p w14:paraId="2BD334CF">
      <w:pPr>
        <w:jc w:val="center"/>
        <w:rPr>
          <w:rFonts w:hint="eastAsia" w:ascii="宋体" w:hAnsi="宋体"/>
          <w:b/>
          <w:sz w:val="30"/>
          <w:szCs w:val="30"/>
        </w:rPr>
      </w:pPr>
    </w:p>
    <w:p w14:paraId="66DA09C3">
      <w:pPr>
        <w:jc w:val="center"/>
        <w:rPr>
          <w:rFonts w:hint="eastAsia" w:ascii="宋体" w:hAnsi="宋体"/>
          <w:b/>
          <w:sz w:val="32"/>
          <w:szCs w:val="32"/>
        </w:rPr>
        <w:sectPr>
          <w:pgSz w:w="11906" w:h="16838"/>
          <w:pgMar w:top="1134" w:right="1287" w:bottom="1134" w:left="1797" w:header="851" w:footer="992" w:gutter="0"/>
          <w:pgNumType w:fmt="upperRoman" w:start="1"/>
          <w:cols w:space="720" w:num="1"/>
          <w:docGrid w:type="lines" w:linePitch="312" w:charSpace="0"/>
        </w:sectPr>
      </w:pPr>
    </w:p>
    <w:p w14:paraId="22D41CCD">
      <w:pPr>
        <w:pStyle w:val="38"/>
        <w:framePr w:w="0" w:h="1367" w:hRule="exact" w:wrap="auto" w:hAnchor="text" w:xAlign="left" w:yAlign="inline"/>
        <w:spacing w:line="480" w:lineRule="auto"/>
        <w:rPr>
          <w:rFonts w:hint="eastAsia" w:ascii="方正小标宋简体" w:hAnsi="方正小标宋简体" w:eastAsia="方正小标宋简体" w:cs="方正小标宋简体"/>
          <w:sz w:val="36"/>
          <w:szCs w:val="36"/>
        </w:rPr>
      </w:pPr>
      <w:bookmarkStart w:id="11" w:name="_Toc320021798"/>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val="en-US" w:eastAsia="zh-CN"/>
        </w:rPr>
        <w:t>绿色肥料产品评价规范</w:t>
      </w:r>
      <w:r>
        <w:rPr>
          <w:rFonts w:hint="eastAsia" w:ascii="方正小标宋简体" w:hAnsi="方正小标宋简体" w:eastAsia="方正小标宋简体" w:cs="方正小标宋简体"/>
          <w:sz w:val="36"/>
          <w:szCs w:val="36"/>
        </w:rPr>
        <w:t>》</w:t>
      </w:r>
    </w:p>
    <w:p w14:paraId="29AD1BE3">
      <w:pPr>
        <w:pStyle w:val="38"/>
        <w:framePr w:w="0" w:h="1367" w:hRule="exact" w:wrap="auto" w:hAnchor="text" w:xAlign="left" w:yAlign="inline"/>
        <w:spacing w:line="480" w:lineRule="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团体</w:t>
      </w:r>
      <w:r>
        <w:rPr>
          <w:rFonts w:hint="eastAsia" w:ascii="方正小标宋简体" w:hAnsi="方正小标宋简体" w:eastAsia="方正小标宋简体" w:cs="方正小标宋简体"/>
          <w:sz w:val="36"/>
          <w:szCs w:val="36"/>
        </w:rPr>
        <w:t>标准编制说明</w:t>
      </w:r>
    </w:p>
    <w:p w14:paraId="28460409">
      <w:pPr>
        <w:spacing w:line="480" w:lineRule="exact"/>
        <w:ind w:firstLine="422" w:firstLineChars="200"/>
        <w:rPr>
          <w:b/>
          <w:bCs/>
          <w:szCs w:val="28"/>
        </w:rPr>
      </w:pPr>
    </w:p>
    <w:p w14:paraId="4FAE5FCF">
      <w:pPr>
        <w:widowControl/>
        <w:spacing w:line="480" w:lineRule="exact"/>
        <w:ind w:firstLine="422" w:firstLineChars="200"/>
        <w:outlineLvl w:val="0"/>
        <w:rPr>
          <w:b/>
          <w:bCs/>
          <w:szCs w:val="28"/>
        </w:rPr>
      </w:pPr>
      <w:bookmarkStart w:id="12" w:name="_Toc21608"/>
      <w:bookmarkStart w:id="13" w:name="_Toc17929"/>
      <w:bookmarkStart w:id="14" w:name="_Toc637419161"/>
      <w:bookmarkStart w:id="15" w:name="_Toc32744"/>
      <w:bookmarkStart w:id="16" w:name="_Toc13191"/>
      <w:bookmarkStart w:id="17" w:name="_Toc12901"/>
      <w:r>
        <w:rPr>
          <w:b/>
          <w:bCs/>
          <w:szCs w:val="28"/>
        </w:rPr>
        <w:t>一、工作简况</w:t>
      </w:r>
      <w:bookmarkEnd w:id="12"/>
      <w:bookmarkEnd w:id="13"/>
      <w:bookmarkEnd w:id="14"/>
    </w:p>
    <w:p w14:paraId="10274A70">
      <w:pPr>
        <w:widowControl/>
        <w:spacing w:line="480" w:lineRule="exact"/>
        <w:ind w:firstLine="422" w:firstLineChars="200"/>
        <w:outlineLvl w:val="0"/>
        <w:rPr>
          <w:b/>
          <w:bCs/>
          <w:szCs w:val="28"/>
        </w:rPr>
      </w:pPr>
      <w:bookmarkStart w:id="18" w:name="_Toc1838410916"/>
      <w:bookmarkStart w:id="19" w:name="_Toc27913"/>
      <w:bookmarkStart w:id="20" w:name="_Toc16837"/>
      <w:bookmarkStart w:id="21" w:name="_Toc28217"/>
      <w:r>
        <w:rPr>
          <w:rFonts w:hint="eastAsia"/>
          <w:b/>
          <w:bCs/>
          <w:szCs w:val="28"/>
        </w:rPr>
        <w:t>（一）任务来源</w:t>
      </w:r>
      <w:bookmarkEnd w:id="11"/>
      <w:bookmarkEnd w:id="15"/>
      <w:bookmarkEnd w:id="16"/>
      <w:bookmarkEnd w:id="17"/>
      <w:bookmarkEnd w:id="18"/>
      <w:bookmarkEnd w:id="19"/>
      <w:bookmarkEnd w:id="20"/>
      <w:bookmarkEnd w:id="21"/>
    </w:p>
    <w:p w14:paraId="3F0661BB">
      <w:pPr>
        <w:widowControl/>
        <w:spacing w:line="480" w:lineRule="exact"/>
        <w:ind w:firstLine="420" w:firstLineChars="200"/>
        <w:rPr>
          <w:rFonts w:cs="仿宋"/>
          <w:szCs w:val="28"/>
        </w:rPr>
      </w:pPr>
      <w:r>
        <w:rPr>
          <w:rFonts w:hint="eastAsia" w:cs="仿宋"/>
          <w:szCs w:val="28"/>
        </w:rPr>
        <w:t>《</w:t>
      </w:r>
      <w:r>
        <w:rPr>
          <w:rFonts w:hint="eastAsia" w:cs="仿宋"/>
          <w:szCs w:val="28"/>
          <w:lang w:val="en-US" w:eastAsia="zh-CN"/>
        </w:rPr>
        <w:t>绿色肥料产品评价规范</w:t>
      </w:r>
      <w:r>
        <w:rPr>
          <w:rFonts w:hint="eastAsia" w:cs="仿宋"/>
          <w:szCs w:val="28"/>
        </w:rPr>
        <w:t>》</w:t>
      </w:r>
      <w:r>
        <w:rPr>
          <w:rFonts w:hint="eastAsia" w:cs="仿宋"/>
          <w:szCs w:val="28"/>
          <w:lang w:val="en-US" w:eastAsia="zh-CN"/>
        </w:rPr>
        <w:t>团体</w:t>
      </w:r>
      <w:r>
        <w:rPr>
          <w:rFonts w:hint="eastAsia" w:cs="仿宋"/>
          <w:szCs w:val="28"/>
        </w:rPr>
        <w:t>标准依据中华全国供销合作总社（以下简称总社）《深化供销合作社“绿色农资”升级行动方案》（</w:t>
      </w:r>
      <w:r>
        <w:rPr>
          <w:rFonts w:hint="eastAsia" w:cs="仿宋"/>
          <w:szCs w:val="28"/>
          <w:highlight w:val="none"/>
        </w:rPr>
        <w:t>供销</w:t>
      </w:r>
      <w:r>
        <w:rPr>
          <w:rFonts w:hint="eastAsia" w:cs="仿宋"/>
          <w:szCs w:val="28"/>
          <w:highlight w:val="none"/>
          <w:lang w:eastAsia="zh-CN"/>
        </w:rPr>
        <w:t>农棉</w:t>
      </w:r>
      <w:r>
        <w:rPr>
          <w:rFonts w:hint="eastAsia" w:cs="仿宋"/>
          <w:szCs w:val="28"/>
          <w:highlight w:val="none"/>
        </w:rPr>
        <w:t>〔202</w:t>
      </w:r>
      <w:r>
        <w:rPr>
          <w:rFonts w:hint="eastAsia" w:cs="仿宋"/>
          <w:szCs w:val="28"/>
          <w:highlight w:val="none"/>
          <w:lang w:val="en-US" w:eastAsia="zh-CN"/>
        </w:rPr>
        <w:t>6</w:t>
      </w:r>
      <w:r>
        <w:rPr>
          <w:rFonts w:hint="eastAsia" w:cs="仿宋"/>
          <w:szCs w:val="28"/>
          <w:highlight w:val="none"/>
        </w:rPr>
        <w:t>〕</w:t>
      </w:r>
      <w:r>
        <w:rPr>
          <w:rFonts w:hint="eastAsia" w:cs="仿宋"/>
          <w:szCs w:val="28"/>
          <w:highlight w:val="none"/>
          <w:lang w:val="en-US" w:eastAsia="zh-CN"/>
        </w:rPr>
        <w:t>13</w:t>
      </w:r>
      <w:r>
        <w:rPr>
          <w:rFonts w:hint="eastAsia" w:cs="仿宋"/>
          <w:szCs w:val="28"/>
          <w:highlight w:val="none"/>
        </w:rPr>
        <w:t>号</w:t>
      </w:r>
      <w:r>
        <w:rPr>
          <w:rFonts w:hint="eastAsia" w:cs="仿宋"/>
          <w:szCs w:val="28"/>
        </w:rPr>
        <w:t>）编制。本标准项目是由中国农业生产资料流通协会提出并归口，由中国农业生产资料流通协会、</w:t>
      </w:r>
      <w:r>
        <w:rPr>
          <w:rFonts w:hint="eastAsia"/>
        </w:rPr>
        <w:t>中国农业大学资源与环境学院、中华全国供销合作总社管理干部学院</w:t>
      </w:r>
      <w:r>
        <w:rPr>
          <w:rFonts w:hint="eastAsia" w:cs="仿宋"/>
          <w:szCs w:val="28"/>
        </w:rPr>
        <w:t>共同组织起草编制。</w:t>
      </w:r>
    </w:p>
    <w:p w14:paraId="1C5EDE88">
      <w:pPr>
        <w:widowControl/>
        <w:spacing w:line="480" w:lineRule="exact"/>
        <w:ind w:firstLine="422" w:firstLineChars="200"/>
        <w:outlineLvl w:val="0"/>
        <w:rPr>
          <w:b/>
          <w:bCs/>
          <w:szCs w:val="28"/>
        </w:rPr>
      </w:pPr>
      <w:bookmarkStart w:id="22" w:name="_Toc320021799"/>
      <w:bookmarkStart w:id="23" w:name="_Toc21773"/>
      <w:bookmarkStart w:id="24" w:name="_Toc1676"/>
      <w:bookmarkStart w:id="25" w:name="_Toc16956"/>
      <w:bookmarkStart w:id="26" w:name="_Toc2956"/>
      <w:bookmarkStart w:id="27" w:name="_Toc3995"/>
      <w:bookmarkStart w:id="28" w:name="_Toc16107"/>
      <w:bookmarkStart w:id="29" w:name="_Toc1095553883"/>
      <w:r>
        <w:rPr>
          <w:rFonts w:hint="eastAsia"/>
          <w:b/>
          <w:bCs/>
          <w:szCs w:val="28"/>
        </w:rPr>
        <w:t>（二）制定</w:t>
      </w:r>
      <w:bookmarkEnd w:id="22"/>
      <w:bookmarkEnd w:id="23"/>
      <w:r>
        <w:rPr>
          <w:rFonts w:hint="eastAsia"/>
          <w:b/>
          <w:bCs/>
          <w:szCs w:val="28"/>
        </w:rPr>
        <w:t>背景</w:t>
      </w:r>
      <w:bookmarkEnd w:id="24"/>
      <w:bookmarkEnd w:id="25"/>
      <w:bookmarkEnd w:id="26"/>
      <w:bookmarkEnd w:id="27"/>
      <w:bookmarkEnd w:id="28"/>
      <w:bookmarkEnd w:id="29"/>
    </w:p>
    <w:p w14:paraId="5C08029A">
      <w:pPr>
        <w:widowControl/>
        <w:spacing w:line="480" w:lineRule="exact"/>
        <w:ind w:firstLine="420" w:firstLineChars="200"/>
        <w:rPr>
          <w:rFonts w:hint="eastAsia" w:cs="仿宋"/>
          <w:szCs w:val="28"/>
        </w:rPr>
      </w:pPr>
      <w:r>
        <w:rPr>
          <w:rFonts w:hint="eastAsia" w:cs="仿宋"/>
          <w:szCs w:val="28"/>
        </w:rPr>
        <w:t>党的十八大以来,以习近平同志为核心的党中央对农业绿色发展作出一系列重大决策部署。习近平总书记指出，推动经济社会发展绿色化、低碳化是实现高质量发展的关键环节。党的二十届三中全会将加快经济社会发展全面绿色转型纳入进一步全面深化改革的总目标、四中全会对“十五五”时期加快经济社会发展全面绿色转型作出战略部署。《中共中央、国务院关于加快经济社会发展全面绿色转型的意见》提出，“推动农业农村绿色发展。推进化肥、农药等农业投入品减量增效。建立健全秸秆、农膜、农药包装废弃物、畜禽粪污等农业废弃物收集利用处理体系”。《中华人民共和国国民经济和社会发展第十五个五年规划纲要》提出“统筹发展科技农业、绿色农业、质量农业、品牌农业，把农业建成现代化大产业”“牢固树立和践行绿水青山就是金山银山的理念，以碳达峰碳中和为牵引，以健全生态文明制度体系为保障，协同推进降碳、减污、扩绿、增长，改善生态环境质量，筑牢生态安全屏障，增强绿色发展动能”。2026年5月，国务院配套印发《加快农业农村现代化“十五五”规划》，单独设立章节对加快农业发展全面绿色转型作出系统性安排。2026年6月，‌全国供销合作总社印发《深化供销合作社“绿色农资”升级行动方案》，提出“支持有关行业协会发挥平台作用，制定绿色肥料标准”。</w:t>
      </w:r>
    </w:p>
    <w:p w14:paraId="7F687BA9">
      <w:pPr>
        <w:widowControl/>
        <w:spacing w:line="480" w:lineRule="exact"/>
        <w:ind w:firstLine="420" w:firstLineChars="200"/>
        <w:rPr>
          <w:rFonts w:hint="eastAsia" w:cs="仿宋"/>
          <w:szCs w:val="28"/>
        </w:rPr>
      </w:pPr>
      <w:r>
        <w:rPr>
          <w:rFonts w:hint="eastAsia" w:cs="仿宋"/>
          <w:szCs w:val="28"/>
        </w:rPr>
        <w:t>化肥是粮食的“粮食”，对农业增产的贡献率超40%。近年来，我国化肥行业呈现‌“总量充足、结构优化、绿色转型加速”‌的发展态势，在保障粮食安全的同时，正经历从“量增”向“质升”的关键调整期。当前，我国建立了覆盖无机肥、有机肥、复混肥、液体肥、微生物菌剂、控释肥、腐植酸有机肥等主流肥料品种的绿色肥料评价标准体系，但距离满足农业绿色高质量发展的要求尚有差距。具体而言，我国现行标准体系因制定主体、适用场景不同，指标设置各有侧重：如化工行业标准侧重生产环节的绿色设计，农业行业标准侧重绿色食品用肥的使用合规性，团体标准/认证规范侧重特定品类的专项指标，导致同类肥料在不同标准下的评价指标、量化要求存在差异，未形成完全统一的指标体系；肥料行业存在生产和消费端分离的特点，当前绿色肥料评价标准体系也存在重生产端、轻施用效果的倾向：现有标准大多聚焦生产环节，重点考核原材料合规性、生产过程污染物排放、产品理化指标等，对施用环节的效果评价较为薄弱，未系统性考虑肥料施用后在土壤改良效果、作物品质提升、养分利用率、环境影响等特性，未形成“生产</w:t>
      </w:r>
      <w:r>
        <w:rPr>
          <w:rFonts w:hint="eastAsia" w:cs="仿宋"/>
          <w:szCs w:val="28"/>
          <w:lang w:eastAsia="zh-CN"/>
        </w:rPr>
        <w:t>—</w:t>
      </w:r>
      <w:r>
        <w:rPr>
          <w:rFonts w:hint="eastAsia" w:cs="仿宋"/>
          <w:szCs w:val="28"/>
        </w:rPr>
        <w:t>施用</w:t>
      </w:r>
      <w:r>
        <w:rPr>
          <w:rFonts w:hint="eastAsia" w:cs="仿宋"/>
          <w:szCs w:val="28"/>
          <w:lang w:eastAsia="zh-CN"/>
        </w:rPr>
        <w:t>—</w:t>
      </w:r>
      <w:r>
        <w:rPr>
          <w:rFonts w:hint="eastAsia" w:cs="仿宋"/>
          <w:szCs w:val="28"/>
        </w:rPr>
        <w:t>效果”的全链条评价，难以全面反映绿色肥料的实际应用价值。</w:t>
      </w:r>
    </w:p>
    <w:p w14:paraId="47F314BD">
      <w:pPr>
        <w:widowControl/>
        <w:spacing w:line="480" w:lineRule="exact"/>
        <w:ind w:firstLine="420" w:firstLineChars="200"/>
        <w:rPr>
          <w:rFonts w:cs="仿宋"/>
          <w:szCs w:val="28"/>
        </w:rPr>
      </w:pPr>
      <w:r>
        <w:rPr>
          <w:rFonts w:hint="eastAsia" w:cs="仿宋"/>
          <w:szCs w:val="28"/>
        </w:rPr>
        <w:t>综上，现行绿色肥料评价标准体系已具备一定基础，但在品种覆盖、指标统一和施用效果评价等方面仍需完善，需进一步衔接国家绿色产品评价统一要求，兼顾生产端规范与消费端需求，构建全链条、统一化的评价体系。为推动肥料行业绿色高质量发展，促进技术创新与产业升级，推动构建更加科学完备的绿色肥料评价标准体系，提高行业整体竞争力，中国农资流通协会作为全国性农资行业社团组织，决定启动“绿色肥料产品评价规范”团体标准制定工作。</w:t>
      </w:r>
    </w:p>
    <w:p w14:paraId="5D379A2F">
      <w:pPr>
        <w:spacing w:line="480" w:lineRule="exact"/>
        <w:ind w:firstLine="422" w:firstLineChars="200"/>
        <w:outlineLvl w:val="1"/>
        <w:rPr>
          <w:b/>
          <w:bCs/>
          <w:szCs w:val="28"/>
        </w:rPr>
      </w:pPr>
      <w:r>
        <w:rPr>
          <w:rFonts w:hint="eastAsia"/>
          <w:b/>
          <w:bCs/>
          <w:szCs w:val="28"/>
        </w:rPr>
        <w:t>（三）标准编制的目的</w:t>
      </w:r>
    </w:p>
    <w:p w14:paraId="62CB61F9">
      <w:pPr>
        <w:spacing w:line="480" w:lineRule="exact"/>
        <w:ind w:firstLine="420" w:firstLineChars="200"/>
        <w:rPr>
          <w:rFonts w:hint="eastAsia" w:cs="仿宋"/>
          <w:szCs w:val="28"/>
        </w:rPr>
      </w:pPr>
      <w:r>
        <w:rPr>
          <w:rFonts w:hint="eastAsia" w:cs="仿宋"/>
          <w:szCs w:val="28"/>
        </w:rPr>
        <w:t>衔接《绿色产品评价通则》《肥料中有毒有害物质限量要求》《绿色食品肥料使用准则》等现有国标、行标，打通“绿色生产—绿色产品—绿色施用”标准链条，形成适配我国化肥科学施用、农业绿色转型的肥料评价专用技术文件。</w:t>
      </w:r>
    </w:p>
    <w:p w14:paraId="57748BD6">
      <w:pPr>
        <w:spacing w:line="480" w:lineRule="exact"/>
        <w:ind w:firstLine="420" w:firstLineChars="200"/>
        <w:rPr>
          <w:rFonts w:hint="eastAsia" w:cs="仿宋"/>
          <w:szCs w:val="28"/>
        </w:rPr>
      </w:pPr>
      <w:r>
        <w:rPr>
          <w:rFonts w:hint="eastAsia" w:cs="仿宋"/>
          <w:szCs w:val="28"/>
        </w:rPr>
        <w:t>明确主流绿色肥料产品的评价要求、指标和方法，构建覆盖“原料—生产—产品—田间施用—环境影响”全链条的绿色肥料评价体系，填补现有标准仅侧重生产端、缺少田间应用效果评价的短板，统一无机肥、有机肥、微生物肥、水溶肥、缓控释肥、土壤调理类等全品类肥料的绿色判定规则、检测方法、田间试验规范与追溯管理要求，为绿色肥料产品的评价提供统一标准。</w:t>
      </w:r>
    </w:p>
    <w:p w14:paraId="2153C1BB">
      <w:pPr>
        <w:spacing w:line="480" w:lineRule="exact"/>
        <w:ind w:firstLine="420" w:firstLineChars="200"/>
        <w:rPr>
          <w:rFonts w:hint="eastAsia" w:cs="仿宋"/>
          <w:szCs w:val="28"/>
        </w:rPr>
      </w:pPr>
      <w:r>
        <w:rPr>
          <w:rFonts w:hint="eastAsia" w:cs="仿宋"/>
          <w:szCs w:val="28"/>
        </w:rPr>
        <w:t>明确绿色肥料术语定义、核心评价指标与分级判定逻辑，规范企业绿色肥料标识宣传、功能声明举证要求，助力解决化肥市场中虚假“绿色肥料”“减肥增效”“低碳改良”等不实宣传，解决行业无统一评判依据的痛点。</w:t>
      </w:r>
    </w:p>
    <w:p w14:paraId="6FD0B61A">
      <w:pPr>
        <w:spacing w:line="480" w:lineRule="exact"/>
        <w:ind w:firstLine="420" w:firstLineChars="200"/>
        <w:rPr>
          <w:rFonts w:hint="eastAsia" w:cs="仿宋"/>
          <w:szCs w:val="28"/>
        </w:rPr>
      </w:pPr>
      <w:r>
        <w:rPr>
          <w:rFonts w:hint="eastAsia" w:cs="仿宋"/>
          <w:szCs w:val="28"/>
        </w:rPr>
        <w:t>建立标准化田间效果验证、农田减排与碳足迹核算技术流程，统一养分利用率、稳产控量、土壤改良、面源污染、温室气体核算的计算模型与试验设计规范，实现不同企业、不同区域肥料产品绿色属性横向可比，推动肥料行业技术创新，促进产业升级，提高行业整体的竞争力。</w:t>
      </w:r>
    </w:p>
    <w:p w14:paraId="58E1663F">
      <w:pPr>
        <w:spacing w:line="480" w:lineRule="exact"/>
        <w:ind w:firstLine="420" w:firstLineChars="200"/>
        <w:rPr>
          <w:rFonts w:hint="eastAsia" w:cs="仿宋"/>
          <w:szCs w:val="28"/>
        </w:rPr>
      </w:pPr>
      <w:r>
        <w:rPr>
          <w:rFonts w:hint="eastAsia" w:cs="仿宋"/>
          <w:szCs w:val="28"/>
        </w:rPr>
        <w:t>引导肥料生产企业清洁化、资源化、低碳化改造，配套完善产品全流程追溯管理要求，为农业农村部门、第三方检测评价机构开展绿色肥料筛选、示范推广提供统一技术依据，满足市场对绿色、环保肥料产品的需求，提升消费者满意度和信任度。</w:t>
      </w:r>
    </w:p>
    <w:p w14:paraId="43DC39F4">
      <w:pPr>
        <w:spacing w:line="480" w:lineRule="exact"/>
        <w:ind w:firstLine="422" w:firstLineChars="200"/>
        <w:rPr>
          <w:rFonts w:hint="default" w:eastAsia="宋体" w:cs="仿宋"/>
          <w:szCs w:val="28"/>
          <w:lang w:val="en-US" w:eastAsia="zh-CN"/>
        </w:rPr>
      </w:pPr>
      <w:r>
        <w:rPr>
          <w:rFonts w:hint="eastAsia"/>
          <w:b/>
          <w:bCs/>
          <w:szCs w:val="28"/>
        </w:rPr>
        <w:t>（</w:t>
      </w:r>
      <w:r>
        <w:rPr>
          <w:rFonts w:hint="eastAsia"/>
          <w:b/>
          <w:bCs/>
          <w:szCs w:val="28"/>
          <w:lang w:val="en-US" w:eastAsia="zh-CN"/>
        </w:rPr>
        <w:t>四</w:t>
      </w:r>
      <w:r>
        <w:rPr>
          <w:rFonts w:hint="eastAsia"/>
          <w:b/>
          <w:bCs/>
          <w:szCs w:val="28"/>
        </w:rPr>
        <w:t>）标准编制</w:t>
      </w:r>
      <w:r>
        <w:rPr>
          <w:rFonts w:hint="eastAsia"/>
          <w:b/>
          <w:bCs/>
          <w:szCs w:val="28"/>
          <w:lang w:val="en-US" w:eastAsia="zh-CN"/>
        </w:rPr>
        <w:t>的意义和必要性</w:t>
      </w:r>
    </w:p>
    <w:p w14:paraId="4622775B">
      <w:pPr>
        <w:spacing w:line="480" w:lineRule="exact"/>
        <w:ind w:firstLine="420" w:firstLineChars="200"/>
        <w:rPr>
          <w:rFonts w:hint="default" w:cs="仿宋"/>
          <w:szCs w:val="28"/>
          <w:lang w:eastAsia="zh-CN"/>
        </w:rPr>
      </w:pPr>
      <w:bookmarkStart w:id="30" w:name="_Toc2200"/>
      <w:bookmarkStart w:id="31" w:name="_Toc17539"/>
      <w:bookmarkStart w:id="32" w:name="_Toc16261"/>
      <w:bookmarkStart w:id="33" w:name="_Toc1195"/>
      <w:bookmarkStart w:id="34" w:name="_Toc6278"/>
      <w:bookmarkStart w:id="35" w:name="_Toc30512"/>
      <w:bookmarkStart w:id="36" w:name="_Toc10473"/>
      <w:bookmarkStart w:id="37" w:name="_Toc11169"/>
      <w:bookmarkStart w:id="38" w:name="_Toc10824"/>
      <w:r>
        <w:rPr>
          <w:rFonts w:hint="default" w:cs="仿宋"/>
          <w:szCs w:val="28"/>
          <w:lang w:eastAsia="zh-CN"/>
        </w:rPr>
        <w:t>落实国家农业绿色发展与标准化战略。本标准贯彻国家关于化肥</w:t>
      </w:r>
      <w:r>
        <w:rPr>
          <w:rFonts w:hint="eastAsia" w:cs="仿宋"/>
          <w:szCs w:val="28"/>
          <w:lang w:eastAsia="zh-CN"/>
        </w:rPr>
        <w:t>科学施用</w:t>
      </w:r>
      <w:r>
        <w:rPr>
          <w:rFonts w:hint="default" w:cs="仿宋"/>
          <w:szCs w:val="28"/>
          <w:lang w:eastAsia="zh-CN"/>
        </w:rPr>
        <w:t>、耕地质量提升、农业</w:t>
      </w:r>
      <w:r>
        <w:rPr>
          <w:rFonts w:hint="eastAsia" w:cs="仿宋"/>
          <w:szCs w:val="28"/>
          <w:lang w:eastAsia="zh-CN"/>
        </w:rPr>
        <w:t>“</w:t>
      </w:r>
      <w:r>
        <w:rPr>
          <w:rFonts w:hint="default" w:cs="仿宋"/>
          <w:szCs w:val="28"/>
          <w:lang w:eastAsia="zh-CN"/>
        </w:rPr>
        <w:t>碳达峰、碳中和</w:t>
      </w:r>
      <w:r>
        <w:rPr>
          <w:rFonts w:hint="eastAsia" w:cs="仿宋"/>
          <w:szCs w:val="28"/>
          <w:lang w:eastAsia="zh-CN"/>
        </w:rPr>
        <w:t>”</w:t>
      </w:r>
      <w:r>
        <w:rPr>
          <w:rFonts w:hint="default" w:cs="仿宋"/>
          <w:szCs w:val="28"/>
          <w:lang w:eastAsia="zh-CN"/>
        </w:rPr>
        <w:t>相关部署，发挥团体标准快速响应产业需求、先行先试的优势，完善肥料领域绿色产品标准供给，补齐细分领域评价标准短板，助力健全完善农业绿色标准体系，为化肥</w:t>
      </w:r>
      <w:r>
        <w:rPr>
          <w:rFonts w:hint="eastAsia" w:cs="仿宋"/>
          <w:szCs w:val="28"/>
          <w:lang w:eastAsia="zh-CN"/>
        </w:rPr>
        <w:t>科学施用</w:t>
      </w:r>
      <w:r>
        <w:rPr>
          <w:rFonts w:hint="default" w:cs="仿宋"/>
          <w:szCs w:val="28"/>
          <w:lang w:eastAsia="zh-CN"/>
        </w:rPr>
        <w:t>、耕地保护、农业减排提供标准化抓手。</w:t>
      </w:r>
    </w:p>
    <w:p w14:paraId="72F6A258">
      <w:pPr>
        <w:spacing w:line="480" w:lineRule="exact"/>
        <w:ind w:firstLine="420" w:firstLineChars="200"/>
        <w:rPr>
          <w:rFonts w:hint="default" w:cs="仿宋"/>
          <w:szCs w:val="28"/>
          <w:lang w:eastAsia="zh-CN"/>
        </w:rPr>
      </w:pPr>
      <w:r>
        <w:rPr>
          <w:rFonts w:hint="default" w:cs="仿宋"/>
          <w:szCs w:val="28"/>
          <w:lang w:eastAsia="zh-CN"/>
        </w:rPr>
        <w:t>规范肥料行业市场秩序，推动产业转型升级。当前肥料行业绿色产品概念尚未统一，产品田间增效效果无统一标尺，本标准将统一全品类绿色肥料准入门槛与评价流程，倒逼落后高耗能、高污染、低效能肥料产能出清；鼓励企业开发资源化、低碳化、高养分利用率新型肥料，推动肥料产业从单纯重养分供给向</w:t>
      </w:r>
      <w:r>
        <w:rPr>
          <w:rFonts w:hint="eastAsia" w:cs="仿宋"/>
          <w:szCs w:val="28"/>
          <w:lang w:eastAsia="zh-CN"/>
        </w:rPr>
        <w:t>“</w:t>
      </w:r>
      <w:r>
        <w:rPr>
          <w:rFonts w:hint="default" w:cs="仿宋"/>
          <w:szCs w:val="28"/>
          <w:lang w:eastAsia="zh-CN"/>
        </w:rPr>
        <w:t>提质、增效、低碳、改土</w:t>
      </w:r>
      <w:r>
        <w:rPr>
          <w:rFonts w:hint="eastAsia" w:cs="仿宋"/>
          <w:szCs w:val="28"/>
          <w:lang w:eastAsia="zh-CN"/>
        </w:rPr>
        <w:t>”</w:t>
      </w:r>
      <w:r>
        <w:rPr>
          <w:rFonts w:hint="default" w:cs="仿宋"/>
          <w:szCs w:val="28"/>
          <w:lang w:eastAsia="zh-CN"/>
        </w:rPr>
        <w:t>综合绿色化方向升级，构建良性竞争市场环境。</w:t>
      </w:r>
    </w:p>
    <w:p w14:paraId="221B522B">
      <w:pPr>
        <w:spacing w:line="480" w:lineRule="exact"/>
        <w:ind w:firstLine="420" w:firstLineChars="200"/>
        <w:rPr>
          <w:rFonts w:hint="default" w:cs="仿宋"/>
          <w:szCs w:val="28"/>
          <w:lang w:eastAsia="zh-CN"/>
        </w:rPr>
      </w:pPr>
      <w:r>
        <w:rPr>
          <w:rFonts w:hint="default" w:cs="仿宋"/>
          <w:szCs w:val="28"/>
          <w:lang w:eastAsia="zh-CN"/>
        </w:rPr>
        <w:t>支撑化肥</w:t>
      </w:r>
      <w:r>
        <w:rPr>
          <w:rFonts w:hint="eastAsia" w:cs="仿宋"/>
          <w:szCs w:val="28"/>
          <w:lang w:eastAsia="zh-CN"/>
        </w:rPr>
        <w:t>科学施用</w:t>
      </w:r>
      <w:r>
        <w:rPr>
          <w:rFonts w:hint="default" w:cs="仿宋"/>
          <w:szCs w:val="28"/>
          <w:lang w:eastAsia="zh-CN"/>
        </w:rPr>
        <w:t>，保护耕地与农田生态。本标准区别于现有肥料标准侧重于产品质量安全，将田间应用效果作为核心评价维度，以稳产、提质、养分高效、土壤改良为核心导向，通过标准化田间试验验证肥料减肥潜力，指导农户科学选用绿色肥料；同时配套农田面源污染减排、温室气体排放控制和全生命周期低碳评价和管理，从源头减少肥料养分流失和农业面源污染，改善土壤板结、酸化、养分失衡问题，保障耕地地力可持续提升，助力绿色食品、有机农业规模化发展。</w:t>
      </w:r>
    </w:p>
    <w:p w14:paraId="08828E17">
      <w:pPr>
        <w:spacing w:line="480" w:lineRule="exact"/>
        <w:ind w:firstLine="420" w:firstLineChars="200"/>
        <w:rPr>
          <w:rFonts w:hint="eastAsia" w:cs="仿宋"/>
          <w:szCs w:val="28"/>
        </w:rPr>
      </w:pPr>
      <w:r>
        <w:rPr>
          <w:rFonts w:hint="default" w:cs="仿宋"/>
          <w:szCs w:val="28"/>
          <w:lang w:eastAsia="zh-CN"/>
        </w:rPr>
        <w:t>规范肥料市场中的绿色肥料宣传和追溯。当前肥料市场</w:t>
      </w:r>
      <w:r>
        <w:rPr>
          <w:rFonts w:hint="eastAsia" w:cs="仿宋"/>
          <w:szCs w:val="28"/>
          <w:lang w:eastAsia="zh-CN"/>
        </w:rPr>
        <w:t>“</w:t>
      </w:r>
      <w:r>
        <w:rPr>
          <w:rFonts w:hint="default" w:cs="仿宋"/>
          <w:szCs w:val="28"/>
          <w:lang w:eastAsia="zh-CN"/>
        </w:rPr>
        <w:t>绿色肥料</w:t>
      </w:r>
      <w:r>
        <w:rPr>
          <w:rFonts w:hint="eastAsia" w:cs="仿宋"/>
          <w:szCs w:val="28"/>
          <w:lang w:eastAsia="zh-CN"/>
        </w:rPr>
        <w:t>”“</w:t>
      </w:r>
      <w:r>
        <w:rPr>
          <w:rFonts w:hint="default" w:cs="仿宋"/>
          <w:szCs w:val="28"/>
          <w:lang w:eastAsia="zh-CN"/>
        </w:rPr>
        <w:t>生态肥料</w:t>
      </w:r>
      <w:r>
        <w:rPr>
          <w:rFonts w:hint="eastAsia" w:cs="仿宋"/>
          <w:szCs w:val="28"/>
          <w:lang w:eastAsia="zh-CN"/>
        </w:rPr>
        <w:t>”</w:t>
      </w:r>
      <w:r>
        <w:rPr>
          <w:rFonts w:hint="default" w:cs="仿宋"/>
          <w:szCs w:val="28"/>
          <w:lang w:eastAsia="zh-CN"/>
        </w:rPr>
        <w:t>概念泛化，部分宣称</w:t>
      </w:r>
      <w:r>
        <w:rPr>
          <w:rFonts w:hint="eastAsia" w:cs="仿宋"/>
          <w:szCs w:val="28"/>
          <w:lang w:eastAsia="zh-CN"/>
        </w:rPr>
        <w:t>“</w:t>
      </w:r>
      <w:r>
        <w:rPr>
          <w:rFonts w:hint="default" w:cs="仿宋"/>
          <w:szCs w:val="28"/>
          <w:lang w:eastAsia="zh-CN"/>
        </w:rPr>
        <w:t>绿色</w:t>
      </w:r>
      <w:r>
        <w:rPr>
          <w:rFonts w:hint="eastAsia" w:cs="仿宋"/>
          <w:szCs w:val="28"/>
          <w:lang w:eastAsia="zh-CN"/>
        </w:rPr>
        <w:t>”“</w:t>
      </w:r>
      <w:r>
        <w:rPr>
          <w:rFonts w:hint="default" w:cs="仿宋"/>
          <w:szCs w:val="28"/>
          <w:lang w:eastAsia="zh-CN"/>
        </w:rPr>
        <w:t>增效</w:t>
      </w:r>
      <w:r>
        <w:rPr>
          <w:rFonts w:hint="eastAsia" w:cs="仿宋"/>
          <w:szCs w:val="28"/>
          <w:lang w:eastAsia="zh-CN"/>
        </w:rPr>
        <w:t>”</w:t>
      </w:r>
      <w:r>
        <w:rPr>
          <w:rFonts w:hint="default" w:cs="仿宋"/>
          <w:szCs w:val="28"/>
          <w:lang w:eastAsia="zh-CN"/>
        </w:rPr>
        <w:t>的肥料实际应用效果难以验证，产品原料、生产、施用全流程信息溯源难度大，本标为行业协会、第三方评价机构、基层农技部门开展绿色肥料筛选、示范、认证提供统一、客观、可追溯的技术规范，降低监管与评价工作的技术门槛，更好保护农民与合规企业利益。</w:t>
      </w:r>
    </w:p>
    <w:p w14:paraId="2CFE4832">
      <w:pPr>
        <w:widowControl/>
        <w:spacing w:line="480" w:lineRule="exact"/>
        <w:ind w:firstLine="422" w:firstLineChars="200"/>
        <w:outlineLvl w:val="0"/>
        <w:rPr>
          <w:b/>
          <w:bCs/>
          <w:szCs w:val="28"/>
        </w:rPr>
      </w:pPr>
      <w:bookmarkStart w:id="39" w:name="_Toc148100836"/>
      <w:r>
        <w:rPr>
          <w:rFonts w:hint="eastAsia"/>
          <w:b/>
          <w:bCs/>
          <w:szCs w:val="28"/>
        </w:rPr>
        <w:t>（四）起草过程</w:t>
      </w:r>
      <w:bookmarkEnd w:id="30"/>
      <w:bookmarkEnd w:id="31"/>
      <w:bookmarkEnd w:id="32"/>
      <w:bookmarkEnd w:id="39"/>
    </w:p>
    <w:p w14:paraId="4CB916C0">
      <w:pPr>
        <w:widowControl/>
        <w:spacing w:line="480" w:lineRule="exact"/>
        <w:ind w:firstLine="422" w:firstLineChars="200"/>
        <w:outlineLvl w:val="1"/>
        <w:rPr>
          <w:b/>
          <w:bCs/>
          <w:szCs w:val="28"/>
        </w:rPr>
      </w:pPr>
      <w:r>
        <w:rPr>
          <w:rFonts w:hint="eastAsia"/>
          <w:b/>
          <w:bCs/>
          <w:szCs w:val="28"/>
        </w:rPr>
        <w:t>1.成立标准编制组</w:t>
      </w:r>
    </w:p>
    <w:p w14:paraId="37CA98E4">
      <w:pPr>
        <w:widowControl/>
        <w:numPr>
          <w:ilvl w:val="255"/>
          <w:numId w:val="0"/>
        </w:numPr>
        <w:spacing w:line="480" w:lineRule="exact"/>
        <w:ind w:firstLine="420" w:firstLineChars="200"/>
        <w:jc w:val="left"/>
        <w:rPr>
          <w:rFonts w:cs="仿宋"/>
          <w:szCs w:val="28"/>
        </w:rPr>
      </w:pPr>
      <w:r>
        <w:rPr>
          <w:rFonts w:hint="eastAsia" w:cs="仿宋"/>
          <w:szCs w:val="28"/>
        </w:rPr>
        <w:t>中国农业生产资料流通协会高度</w:t>
      </w:r>
      <w:r>
        <w:rPr>
          <w:rFonts w:hint="eastAsia" w:cs="仿宋"/>
          <w:szCs w:val="28"/>
          <w:lang w:val="en-US" w:eastAsia="zh-CN"/>
        </w:rPr>
        <w:t>重视绿色肥料标准</w:t>
      </w:r>
      <w:r>
        <w:rPr>
          <w:rFonts w:hint="eastAsia" w:cs="仿宋"/>
          <w:szCs w:val="28"/>
        </w:rPr>
        <w:t>编制工作，</w:t>
      </w:r>
      <w:r>
        <w:rPr>
          <w:rFonts w:hint="eastAsia" w:cs="仿宋"/>
          <w:szCs w:val="28"/>
          <w:lang w:val="en-US" w:eastAsia="zh-CN"/>
        </w:rPr>
        <w:t>2025年启动标准前期研究工作，广泛开展调研，听取行业专家和企业意见建议，形成编制思路。今年以来，</w:t>
      </w:r>
      <w:r>
        <w:rPr>
          <w:rFonts w:hint="eastAsia" w:cs="仿宋"/>
          <w:szCs w:val="28"/>
        </w:rPr>
        <w:t>与</w:t>
      </w:r>
      <w:r>
        <w:rPr>
          <w:rFonts w:hint="eastAsia" w:cs="仿宋"/>
          <w:szCs w:val="28"/>
          <w:lang w:val="en-US" w:eastAsia="zh-CN"/>
        </w:rPr>
        <w:t>中国农业大学资源与环境学院、总社管理干部学院等</w:t>
      </w:r>
      <w:r>
        <w:rPr>
          <w:rFonts w:hint="eastAsia" w:cs="仿宋"/>
          <w:szCs w:val="28"/>
        </w:rPr>
        <w:t>共同组成起草单位，</w:t>
      </w:r>
      <w:r>
        <w:rPr>
          <w:rFonts w:hint="eastAsia" w:cs="仿宋"/>
          <w:szCs w:val="28"/>
          <w:lang w:eastAsia="zh-CN"/>
        </w:rPr>
        <w:t>进一步梳理行业现状、研判产业痛点、深化技术论证、确定标准框架，</w:t>
      </w:r>
      <w:r>
        <w:rPr>
          <w:rFonts w:hint="eastAsia" w:cs="仿宋"/>
          <w:szCs w:val="28"/>
        </w:rPr>
        <w:t>于202</w:t>
      </w:r>
      <w:r>
        <w:rPr>
          <w:rFonts w:hint="eastAsia" w:cs="仿宋"/>
          <w:szCs w:val="28"/>
          <w:lang w:val="en-US" w:eastAsia="zh-CN"/>
        </w:rPr>
        <w:t>6</w:t>
      </w:r>
      <w:r>
        <w:rPr>
          <w:rFonts w:hint="eastAsia" w:cs="仿宋"/>
          <w:szCs w:val="28"/>
        </w:rPr>
        <w:t>年</w:t>
      </w:r>
      <w:r>
        <w:rPr>
          <w:rFonts w:hint="eastAsia" w:cs="仿宋"/>
          <w:szCs w:val="28"/>
          <w:lang w:val="en-US" w:eastAsia="zh-CN"/>
        </w:rPr>
        <w:t>6</w:t>
      </w:r>
      <w:r>
        <w:rPr>
          <w:rFonts w:hint="eastAsia" w:cs="仿宋"/>
          <w:szCs w:val="28"/>
        </w:rPr>
        <w:t>月成立了《</w:t>
      </w:r>
      <w:r>
        <w:rPr>
          <w:rFonts w:hint="eastAsia" w:cs="仿宋"/>
          <w:szCs w:val="28"/>
          <w:lang w:val="en-US" w:eastAsia="zh-CN"/>
        </w:rPr>
        <w:t>绿色肥料产品评价规范</w:t>
      </w:r>
      <w:r>
        <w:rPr>
          <w:rFonts w:hint="eastAsia" w:cs="仿宋"/>
          <w:szCs w:val="28"/>
        </w:rPr>
        <w:t>》</w:t>
      </w:r>
      <w:r>
        <w:rPr>
          <w:rFonts w:hint="eastAsia" w:cs="仿宋"/>
          <w:szCs w:val="28"/>
          <w:lang w:val="en-US" w:eastAsia="zh-CN"/>
        </w:rPr>
        <w:t>团体</w:t>
      </w:r>
      <w:r>
        <w:rPr>
          <w:rFonts w:hint="eastAsia" w:cs="仿宋"/>
          <w:szCs w:val="28"/>
        </w:rPr>
        <w:t>标准编制工作组，制定工作计划</w:t>
      </w:r>
      <w:r>
        <w:rPr>
          <w:rFonts w:hint="eastAsia" w:cs="仿宋"/>
          <w:szCs w:val="28"/>
          <w:lang w:eastAsia="zh-CN"/>
        </w:rPr>
        <w:t>，推进</w:t>
      </w:r>
      <w:r>
        <w:rPr>
          <w:rFonts w:hint="eastAsia" w:cs="仿宋"/>
          <w:szCs w:val="28"/>
        </w:rPr>
        <w:t>该标准草案的</w:t>
      </w:r>
      <w:r>
        <w:rPr>
          <w:rFonts w:hint="eastAsia" w:cs="仿宋"/>
          <w:szCs w:val="28"/>
          <w:lang w:eastAsia="zh-CN"/>
        </w:rPr>
        <w:t>指标</w:t>
      </w:r>
      <w:r>
        <w:rPr>
          <w:rFonts w:hint="eastAsia" w:cs="仿宋"/>
          <w:szCs w:val="28"/>
        </w:rPr>
        <w:t>编制工作。</w:t>
      </w:r>
    </w:p>
    <w:p w14:paraId="5B53395D">
      <w:pPr>
        <w:widowControl/>
        <w:spacing w:line="480" w:lineRule="exact"/>
        <w:ind w:firstLine="422" w:firstLineChars="200"/>
        <w:outlineLvl w:val="1"/>
        <w:rPr>
          <w:b/>
          <w:bCs/>
          <w:szCs w:val="28"/>
        </w:rPr>
      </w:pPr>
      <w:r>
        <w:rPr>
          <w:rFonts w:hint="eastAsia"/>
          <w:b/>
          <w:bCs/>
          <w:szCs w:val="28"/>
        </w:rPr>
        <w:t>2.资料收集</w:t>
      </w:r>
    </w:p>
    <w:p w14:paraId="512462BB">
      <w:pPr>
        <w:widowControl/>
        <w:numPr>
          <w:ilvl w:val="255"/>
          <w:numId w:val="0"/>
        </w:numPr>
        <w:spacing w:line="480" w:lineRule="exact"/>
        <w:ind w:firstLine="420" w:firstLineChars="200"/>
        <w:jc w:val="left"/>
        <w:rPr>
          <w:rFonts w:cs="仿宋"/>
          <w:szCs w:val="28"/>
        </w:rPr>
      </w:pPr>
      <w:r>
        <w:rPr>
          <w:rFonts w:hint="eastAsia" w:cs="仿宋"/>
          <w:szCs w:val="28"/>
        </w:rPr>
        <w:t>编制组在标准草案编制过程中，对</w:t>
      </w:r>
      <w:r>
        <w:rPr>
          <w:rFonts w:hint="eastAsia" w:cs="仿宋"/>
          <w:szCs w:val="28"/>
          <w:lang w:val="en-US" w:eastAsia="zh-CN"/>
        </w:rPr>
        <w:t>绿色肥料产品评价</w:t>
      </w:r>
      <w:r>
        <w:rPr>
          <w:rFonts w:hint="eastAsia" w:cs="仿宋"/>
          <w:szCs w:val="28"/>
        </w:rPr>
        <w:t>的有关文件、资料进行了系统收集。这些资料包括：国家相关部门发布的</w:t>
      </w:r>
      <w:r>
        <w:rPr>
          <w:rFonts w:hint="eastAsia" w:cs="仿宋"/>
          <w:szCs w:val="28"/>
          <w:lang w:val="en-US" w:eastAsia="zh-CN"/>
        </w:rPr>
        <w:t>绿色肥料产品</w:t>
      </w:r>
      <w:r>
        <w:rPr>
          <w:rFonts w:hint="eastAsia" w:cs="仿宋"/>
          <w:szCs w:val="28"/>
        </w:rPr>
        <w:t>方面的相关政策、法律法规要求，国家和有关行业颁布的相关标准和规定等，国内农资企业在</w:t>
      </w:r>
      <w:r>
        <w:rPr>
          <w:rFonts w:hint="eastAsia" w:cs="仿宋"/>
          <w:szCs w:val="28"/>
          <w:lang w:val="en-US" w:eastAsia="zh-CN"/>
        </w:rPr>
        <w:t>绿色肥料研发、生产</w:t>
      </w:r>
      <w:r>
        <w:rPr>
          <w:rFonts w:hint="eastAsia" w:cs="仿宋"/>
          <w:szCs w:val="28"/>
        </w:rPr>
        <w:t>方面的工作开展情况等。同时对上述要求、规定和理论进行了系统分析和研究。</w:t>
      </w:r>
    </w:p>
    <w:p w14:paraId="130A7BEC">
      <w:pPr>
        <w:widowControl/>
        <w:spacing w:line="480" w:lineRule="exact"/>
        <w:ind w:firstLine="422" w:firstLineChars="200"/>
        <w:outlineLvl w:val="1"/>
        <w:rPr>
          <w:b/>
          <w:bCs/>
          <w:szCs w:val="28"/>
        </w:rPr>
      </w:pPr>
      <w:r>
        <w:rPr>
          <w:rFonts w:hint="eastAsia"/>
          <w:b/>
          <w:bCs/>
          <w:szCs w:val="28"/>
        </w:rPr>
        <w:t>3.调查研究</w:t>
      </w:r>
    </w:p>
    <w:p w14:paraId="7C4F6F6A">
      <w:pPr>
        <w:widowControl/>
        <w:numPr>
          <w:ilvl w:val="255"/>
          <w:numId w:val="0"/>
        </w:numPr>
        <w:spacing w:line="480" w:lineRule="exact"/>
        <w:ind w:firstLine="420" w:firstLineChars="200"/>
        <w:jc w:val="left"/>
        <w:rPr>
          <w:rFonts w:cs="仿宋"/>
          <w:szCs w:val="28"/>
        </w:rPr>
      </w:pPr>
      <w:r>
        <w:rPr>
          <w:rFonts w:hint="eastAsia" w:cs="仿宋"/>
          <w:szCs w:val="28"/>
        </w:rPr>
        <w:t>为使标准的编制内容更加符合当前行业发展的实际要求，项目组按照工作计划开展了调研。通过电话咨询、定向征求意见等方式，对</w:t>
      </w:r>
      <w:r>
        <w:rPr>
          <w:rFonts w:hint="eastAsia" w:cs="仿宋"/>
          <w:szCs w:val="28"/>
          <w:lang w:val="en-US" w:eastAsia="zh-CN"/>
        </w:rPr>
        <w:t>绿色肥料产品</w:t>
      </w:r>
      <w:r>
        <w:rPr>
          <w:rFonts w:hint="eastAsia" w:cs="仿宋"/>
          <w:szCs w:val="28"/>
        </w:rPr>
        <w:t>的</w:t>
      </w:r>
      <w:r>
        <w:rPr>
          <w:rFonts w:hint="eastAsia" w:cs="仿宋"/>
          <w:szCs w:val="28"/>
          <w:lang w:val="en-US" w:eastAsia="zh-CN"/>
        </w:rPr>
        <w:t>研发、生产、销售</w:t>
      </w:r>
      <w:r>
        <w:rPr>
          <w:rFonts w:hint="eastAsia" w:cs="仿宋"/>
          <w:szCs w:val="28"/>
        </w:rPr>
        <w:t>情况、存在问题及需求等情况进行调研和总结，为标准初稿的起草提供了坚实的实践基础。</w:t>
      </w:r>
    </w:p>
    <w:p w14:paraId="03B1D973">
      <w:pPr>
        <w:widowControl/>
        <w:spacing w:line="480" w:lineRule="exact"/>
        <w:ind w:firstLine="422" w:firstLineChars="200"/>
        <w:outlineLvl w:val="1"/>
        <w:rPr>
          <w:b/>
          <w:bCs/>
          <w:szCs w:val="28"/>
        </w:rPr>
      </w:pPr>
      <w:r>
        <w:rPr>
          <w:rFonts w:hint="eastAsia"/>
          <w:b/>
          <w:bCs/>
          <w:szCs w:val="28"/>
        </w:rPr>
        <w:t>4.起草并形成标准征求意见稿</w:t>
      </w:r>
    </w:p>
    <w:p w14:paraId="69C963B6">
      <w:pPr>
        <w:widowControl/>
        <w:numPr>
          <w:ilvl w:val="255"/>
          <w:numId w:val="0"/>
        </w:numPr>
        <w:spacing w:line="480" w:lineRule="exact"/>
        <w:ind w:firstLine="420" w:firstLineChars="200"/>
        <w:jc w:val="left"/>
        <w:rPr>
          <w:rFonts w:cs="仿宋"/>
          <w:szCs w:val="28"/>
        </w:rPr>
      </w:pPr>
      <w:r>
        <w:rPr>
          <w:rFonts w:hint="eastAsia" w:cs="仿宋"/>
          <w:szCs w:val="28"/>
        </w:rPr>
        <w:t>经编制单位共同努力，于2026年</w:t>
      </w:r>
      <w:r>
        <w:rPr>
          <w:rFonts w:hint="eastAsia" w:cs="仿宋"/>
          <w:szCs w:val="28"/>
          <w:lang w:val="en-US" w:eastAsia="zh-CN"/>
        </w:rPr>
        <w:t>8</w:t>
      </w:r>
      <w:r>
        <w:rPr>
          <w:rFonts w:hint="eastAsia" w:cs="仿宋"/>
          <w:szCs w:val="28"/>
        </w:rPr>
        <w:t>月形成《</w:t>
      </w:r>
      <w:r>
        <w:rPr>
          <w:rFonts w:hint="eastAsia" w:cs="仿宋"/>
          <w:szCs w:val="28"/>
          <w:lang w:val="en-US" w:eastAsia="zh-CN"/>
        </w:rPr>
        <w:t>绿色肥料产品评价规范</w:t>
      </w:r>
      <w:r>
        <w:rPr>
          <w:rFonts w:hint="eastAsia" w:cs="仿宋"/>
          <w:szCs w:val="28"/>
        </w:rPr>
        <w:t>（征求意见稿）》。</w:t>
      </w:r>
    </w:p>
    <w:bookmarkEnd w:id="33"/>
    <w:bookmarkEnd w:id="34"/>
    <w:bookmarkEnd w:id="35"/>
    <w:bookmarkEnd w:id="36"/>
    <w:bookmarkEnd w:id="37"/>
    <w:bookmarkEnd w:id="38"/>
    <w:p w14:paraId="0A667AAD">
      <w:pPr>
        <w:widowControl/>
        <w:spacing w:line="480" w:lineRule="exact"/>
        <w:ind w:firstLine="422" w:firstLineChars="200"/>
        <w:outlineLvl w:val="0"/>
        <w:rPr>
          <w:b/>
          <w:bCs/>
          <w:szCs w:val="28"/>
        </w:rPr>
      </w:pPr>
      <w:bookmarkStart w:id="40" w:name="_Toc17421"/>
      <w:bookmarkStart w:id="41" w:name="_Toc1612"/>
      <w:bookmarkStart w:id="42" w:name="_Toc1223645270"/>
      <w:bookmarkStart w:id="43" w:name="_Toc26825"/>
      <w:bookmarkStart w:id="44" w:name="_Toc320021800"/>
      <w:bookmarkStart w:id="45" w:name="_Toc18411"/>
      <w:bookmarkStart w:id="46" w:name="_Toc12498"/>
      <w:r>
        <w:rPr>
          <w:b/>
          <w:bCs/>
          <w:szCs w:val="28"/>
        </w:rPr>
        <w:t>二、标准编制原则、主要内容及其确定依据</w:t>
      </w:r>
      <w:bookmarkEnd w:id="40"/>
      <w:bookmarkEnd w:id="41"/>
      <w:bookmarkEnd w:id="42"/>
    </w:p>
    <w:p w14:paraId="7A9539F0">
      <w:pPr>
        <w:widowControl/>
        <w:spacing w:line="480" w:lineRule="exact"/>
        <w:ind w:firstLine="422" w:firstLineChars="200"/>
        <w:outlineLvl w:val="0"/>
        <w:rPr>
          <w:b/>
          <w:bCs/>
          <w:szCs w:val="28"/>
        </w:rPr>
      </w:pPr>
      <w:bookmarkStart w:id="47" w:name="_Toc21353"/>
      <w:bookmarkStart w:id="48" w:name="_Toc13892"/>
      <w:bookmarkStart w:id="49" w:name="_Toc2128274122"/>
      <w:bookmarkStart w:id="50" w:name="_Toc17023"/>
      <w:r>
        <w:rPr>
          <w:rFonts w:hint="eastAsia"/>
          <w:b/>
          <w:bCs/>
          <w:szCs w:val="28"/>
        </w:rPr>
        <w:t>（一）标准制定原则</w:t>
      </w:r>
      <w:bookmarkEnd w:id="43"/>
      <w:bookmarkEnd w:id="44"/>
      <w:bookmarkEnd w:id="45"/>
      <w:bookmarkEnd w:id="46"/>
      <w:bookmarkEnd w:id="47"/>
      <w:bookmarkEnd w:id="48"/>
      <w:bookmarkEnd w:id="49"/>
      <w:bookmarkEnd w:id="50"/>
    </w:p>
    <w:p w14:paraId="5AABBCFD">
      <w:pPr>
        <w:widowControl/>
        <w:spacing w:line="480" w:lineRule="exact"/>
        <w:ind w:firstLine="420" w:firstLineChars="200"/>
        <w:jc w:val="left"/>
        <w:rPr>
          <w:szCs w:val="28"/>
          <w:lang w:val="zh-CN"/>
        </w:rPr>
      </w:pPr>
      <w:r>
        <w:rPr>
          <w:rFonts w:hint="eastAsia"/>
          <w:szCs w:val="28"/>
          <w:lang w:val="zh-CN"/>
        </w:rPr>
        <w:t>本标准依据G</w:t>
      </w:r>
      <w:r>
        <w:rPr>
          <w:szCs w:val="28"/>
          <w:lang w:val="zh-CN"/>
        </w:rPr>
        <w:t>B</w:t>
      </w:r>
      <w:r>
        <w:rPr>
          <w:rFonts w:hint="eastAsia"/>
          <w:szCs w:val="28"/>
          <w:lang w:val="zh-CN"/>
        </w:rPr>
        <w:t>/</w:t>
      </w:r>
      <w:r>
        <w:rPr>
          <w:szCs w:val="28"/>
          <w:lang w:val="zh-CN"/>
        </w:rPr>
        <w:t>T 1.1</w:t>
      </w:r>
      <w:r>
        <w:rPr>
          <w:rFonts w:hint="eastAsia"/>
          <w:szCs w:val="28"/>
          <w:lang w:val="zh-CN"/>
        </w:rPr>
        <w:t>-2020《标准化工作导则  第1部分：标准化文件的结构和起草规则》规定的规则制定，在标准编制方面遵从的具体原则是：</w:t>
      </w:r>
    </w:p>
    <w:p w14:paraId="68240CFC">
      <w:pPr>
        <w:widowControl/>
        <w:spacing w:line="480" w:lineRule="exact"/>
        <w:ind w:firstLine="422" w:firstLineChars="200"/>
        <w:jc w:val="left"/>
        <w:rPr>
          <w:rFonts w:hint="eastAsia"/>
          <w:b/>
          <w:bCs/>
          <w:szCs w:val="28"/>
        </w:rPr>
      </w:pPr>
      <w:bookmarkStart w:id="51" w:name="_Toc320021802"/>
      <w:bookmarkStart w:id="52" w:name="_Toc320021801"/>
      <w:r>
        <w:rPr>
          <w:rFonts w:hint="eastAsia"/>
          <w:b/>
          <w:bCs/>
          <w:szCs w:val="28"/>
        </w:rPr>
        <w:t>1. 政策符合性原则</w:t>
      </w:r>
    </w:p>
    <w:p w14:paraId="4ECB1C47">
      <w:pPr>
        <w:widowControl/>
        <w:spacing w:line="480" w:lineRule="exact"/>
        <w:ind w:firstLine="420" w:firstLineChars="200"/>
        <w:jc w:val="left"/>
        <w:rPr>
          <w:rFonts w:hint="eastAsia"/>
          <w:b w:val="0"/>
          <w:bCs w:val="0"/>
          <w:szCs w:val="28"/>
        </w:rPr>
      </w:pPr>
      <w:r>
        <w:rPr>
          <w:rFonts w:hint="eastAsia"/>
          <w:b w:val="0"/>
          <w:bCs w:val="0"/>
          <w:szCs w:val="28"/>
        </w:rPr>
        <w:t>贯彻农业绿色转型、化肥减量增效相关政策，对接</w:t>
      </w:r>
      <w:r>
        <w:rPr>
          <w:rFonts w:hint="eastAsia"/>
          <w:b w:val="0"/>
          <w:bCs w:val="0"/>
          <w:szCs w:val="28"/>
          <w:lang w:val="en-US" w:eastAsia="zh-CN"/>
        </w:rPr>
        <w:t>供销合作社深化</w:t>
      </w:r>
      <w:r>
        <w:rPr>
          <w:rFonts w:hint="eastAsia"/>
          <w:b w:val="0"/>
          <w:bCs w:val="0"/>
          <w:szCs w:val="28"/>
        </w:rPr>
        <w:t>“绿色农资”升级行动，契合产业导向，补齐绿色肥料全链条评价短板，发挥团体标准快速响应产业需求的作用。</w:t>
      </w:r>
    </w:p>
    <w:p w14:paraId="676F282A">
      <w:pPr>
        <w:widowControl/>
        <w:spacing w:line="480" w:lineRule="exact"/>
        <w:ind w:firstLine="422" w:firstLineChars="200"/>
        <w:jc w:val="left"/>
        <w:rPr>
          <w:rFonts w:hint="eastAsia"/>
          <w:b/>
          <w:bCs/>
          <w:szCs w:val="28"/>
        </w:rPr>
      </w:pPr>
      <w:r>
        <w:rPr>
          <w:rFonts w:hint="eastAsia"/>
          <w:b/>
          <w:bCs/>
          <w:szCs w:val="28"/>
        </w:rPr>
        <w:t>2. 协调性原则</w:t>
      </w:r>
    </w:p>
    <w:p w14:paraId="6853CDAB">
      <w:pPr>
        <w:widowControl/>
        <w:spacing w:line="480" w:lineRule="exact"/>
        <w:ind w:firstLine="420" w:firstLineChars="200"/>
        <w:jc w:val="left"/>
        <w:rPr>
          <w:rFonts w:hint="eastAsia"/>
          <w:b w:val="0"/>
          <w:bCs w:val="0"/>
          <w:szCs w:val="28"/>
        </w:rPr>
      </w:pPr>
      <w:r>
        <w:rPr>
          <w:rFonts w:hint="eastAsia"/>
          <w:b w:val="0"/>
          <w:bCs w:val="0"/>
          <w:szCs w:val="28"/>
          <w:lang w:val="en-US" w:eastAsia="zh-CN"/>
        </w:rPr>
        <w:t>严守</w:t>
      </w:r>
      <w:r>
        <w:rPr>
          <w:rFonts w:hint="eastAsia"/>
          <w:b w:val="0"/>
          <w:bCs w:val="0"/>
          <w:szCs w:val="28"/>
        </w:rPr>
        <w:t>强制性国标底线，</w:t>
      </w:r>
      <w:bookmarkStart w:id="128" w:name="_GoBack"/>
      <w:bookmarkEnd w:id="128"/>
      <w:r>
        <w:rPr>
          <w:rFonts w:hint="eastAsia"/>
          <w:b w:val="0"/>
          <w:bCs w:val="0"/>
          <w:szCs w:val="28"/>
        </w:rPr>
        <w:t>与现行肥料</w:t>
      </w:r>
      <w:r>
        <w:rPr>
          <w:rFonts w:hint="eastAsia"/>
          <w:b w:val="0"/>
          <w:bCs w:val="0"/>
          <w:szCs w:val="28"/>
          <w:lang w:val="en-US" w:eastAsia="zh-CN"/>
        </w:rPr>
        <w:t>国家标准</w:t>
      </w:r>
      <w:r>
        <w:rPr>
          <w:rFonts w:hint="eastAsia"/>
          <w:b w:val="0"/>
          <w:bCs w:val="0"/>
          <w:szCs w:val="28"/>
        </w:rPr>
        <w:t>、</w:t>
      </w:r>
      <w:r>
        <w:rPr>
          <w:rFonts w:hint="eastAsia"/>
          <w:b w:val="0"/>
          <w:bCs w:val="0"/>
          <w:szCs w:val="28"/>
          <w:lang w:val="en-US" w:eastAsia="zh-CN"/>
        </w:rPr>
        <w:t>行业标准</w:t>
      </w:r>
      <w:r>
        <w:rPr>
          <w:rFonts w:hint="eastAsia"/>
          <w:b w:val="0"/>
          <w:bCs w:val="0"/>
          <w:szCs w:val="28"/>
        </w:rPr>
        <w:t>、</w:t>
      </w:r>
      <w:r>
        <w:rPr>
          <w:rFonts w:hint="eastAsia"/>
          <w:b w:val="0"/>
          <w:bCs w:val="0"/>
          <w:szCs w:val="28"/>
          <w:lang w:val="en-US" w:eastAsia="zh-CN"/>
        </w:rPr>
        <w:t>团体标准</w:t>
      </w:r>
      <w:r>
        <w:rPr>
          <w:rFonts w:hint="eastAsia"/>
          <w:b w:val="0"/>
          <w:bCs w:val="0"/>
          <w:szCs w:val="28"/>
        </w:rPr>
        <w:t>协调互补，结合国内实际</w:t>
      </w:r>
      <w:r>
        <w:rPr>
          <w:rFonts w:hint="eastAsia"/>
          <w:b w:val="0"/>
          <w:bCs w:val="0"/>
          <w:szCs w:val="28"/>
          <w:lang w:val="en-US" w:eastAsia="zh-CN"/>
        </w:rPr>
        <w:t>设置评价指标体系</w:t>
      </w:r>
      <w:r>
        <w:rPr>
          <w:rFonts w:hint="eastAsia"/>
          <w:b w:val="0"/>
          <w:bCs w:val="0"/>
          <w:szCs w:val="28"/>
        </w:rPr>
        <w:t>，不替代现有标准，补充田间</w:t>
      </w:r>
      <w:r>
        <w:rPr>
          <w:rFonts w:hint="eastAsia"/>
          <w:b w:val="0"/>
          <w:bCs w:val="0"/>
          <w:szCs w:val="28"/>
          <w:lang w:val="en-US" w:eastAsia="zh-CN"/>
        </w:rPr>
        <w:t>应用效果</w:t>
      </w:r>
      <w:r>
        <w:rPr>
          <w:rFonts w:hint="eastAsia"/>
          <w:b w:val="0"/>
          <w:bCs w:val="0"/>
          <w:szCs w:val="28"/>
        </w:rPr>
        <w:t>、</w:t>
      </w:r>
      <w:r>
        <w:rPr>
          <w:rFonts w:hint="eastAsia"/>
          <w:b w:val="0"/>
          <w:bCs w:val="0"/>
          <w:szCs w:val="28"/>
          <w:lang w:val="en-US" w:eastAsia="zh-CN"/>
        </w:rPr>
        <w:t>碳足迹</w:t>
      </w:r>
      <w:r>
        <w:rPr>
          <w:rFonts w:hint="eastAsia"/>
          <w:b w:val="0"/>
          <w:bCs w:val="0"/>
          <w:szCs w:val="28"/>
        </w:rPr>
        <w:t>评价内容。</w:t>
      </w:r>
    </w:p>
    <w:p w14:paraId="146530C0">
      <w:pPr>
        <w:widowControl/>
        <w:spacing w:line="480" w:lineRule="exact"/>
        <w:ind w:firstLine="422" w:firstLineChars="200"/>
        <w:jc w:val="left"/>
        <w:rPr>
          <w:rFonts w:hint="eastAsia"/>
          <w:b/>
          <w:bCs/>
          <w:szCs w:val="28"/>
        </w:rPr>
      </w:pPr>
      <w:r>
        <w:rPr>
          <w:rFonts w:hint="eastAsia"/>
          <w:b/>
          <w:bCs/>
          <w:szCs w:val="28"/>
        </w:rPr>
        <w:t>3. 科学性原则</w:t>
      </w:r>
    </w:p>
    <w:p w14:paraId="2404D374">
      <w:pPr>
        <w:widowControl/>
        <w:spacing w:line="480" w:lineRule="exact"/>
        <w:ind w:firstLine="420" w:firstLineChars="200"/>
        <w:jc w:val="left"/>
        <w:rPr>
          <w:rFonts w:hint="eastAsia"/>
          <w:b w:val="0"/>
          <w:bCs w:val="0"/>
          <w:szCs w:val="28"/>
        </w:rPr>
      </w:pPr>
      <w:r>
        <w:rPr>
          <w:rFonts w:hint="eastAsia"/>
          <w:b w:val="0"/>
          <w:bCs w:val="0"/>
          <w:szCs w:val="28"/>
        </w:rPr>
        <w:t>针对行业重生产轻应用痛点，构建多维度指标体系，按肥料品类设置差异化、触发式评价规则，明确试验核算基准边界，保障评价科学严谨、产品间可横向对比。</w:t>
      </w:r>
    </w:p>
    <w:p w14:paraId="5CB4D24C">
      <w:pPr>
        <w:widowControl/>
        <w:spacing w:line="480" w:lineRule="exact"/>
        <w:ind w:firstLine="422" w:firstLineChars="200"/>
        <w:jc w:val="left"/>
        <w:rPr>
          <w:rFonts w:hint="eastAsia"/>
          <w:b/>
          <w:bCs/>
          <w:szCs w:val="28"/>
        </w:rPr>
      </w:pPr>
      <w:r>
        <w:rPr>
          <w:rFonts w:hint="eastAsia"/>
          <w:b/>
          <w:bCs/>
          <w:szCs w:val="28"/>
        </w:rPr>
        <w:t>4. 实用性与可操作性原则</w:t>
      </w:r>
    </w:p>
    <w:p w14:paraId="03CCB466">
      <w:pPr>
        <w:widowControl/>
        <w:spacing w:line="480" w:lineRule="exact"/>
        <w:ind w:firstLine="420" w:firstLineChars="200"/>
        <w:jc w:val="left"/>
        <w:rPr>
          <w:rFonts w:hint="eastAsia"/>
          <w:b w:val="0"/>
          <w:bCs w:val="0"/>
          <w:szCs w:val="28"/>
        </w:rPr>
      </w:pPr>
      <w:r>
        <w:rPr>
          <w:rFonts w:hint="eastAsia"/>
          <w:b w:val="0"/>
          <w:bCs w:val="0"/>
          <w:szCs w:val="28"/>
        </w:rPr>
        <w:t>兼顾企业、第三方</w:t>
      </w:r>
      <w:r>
        <w:rPr>
          <w:rFonts w:hint="eastAsia"/>
          <w:b w:val="0"/>
          <w:bCs w:val="0"/>
          <w:szCs w:val="28"/>
          <w:lang w:val="en-US" w:eastAsia="zh-CN"/>
        </w:rPr>
        <w:t>评价</w:t>
      </w:r>
      <w:r>
        <w:rPr>
          <w:rFonts w:hint="eastAsia"/>
          <w:b w:val="0"/>
          <w:bCs w:val="0"/>
          <w:szCs w:val="28"/>
        </w:rPr>
        <w:t>机构、农技部门使用场景，指标立足产业实际，明确检测核算路径，规范功能宣传与追溯要求，便于开展产品评价与示范推广。</w:t>
      </w:r>
    </w:p>
    <w:p w14:paraId="210FB995">
      <w:pPr>
        <w:widowControl/>
        <w:spacing w:line="480" w:lineRule="exact"/>
        <w:ind w:firstLine="422" w:firstLineChars="200"/>
        <w:jc w:val="left"/>
        <w:rPr>
          <w:b/>
          <w:bCs/>
          <w:szCs w:val="28"/>
        </w:rPr>
      </w:pPr>
      <w:r>
        <w:rPr>
          <w:rFonts w:hint="eastAsia"/>
          <w:b/>
          <w:bCs/>
          <w:szCs w:val="28"/>
        </w:rPr>
        <w:t>5.标准编制的参考依据</w:t>
      </w:r>
    </w:p>
    <w:bookmarkEnd w:id="51"/>
    <w:bookmarkEnd w:id="52"/>
    <w:p w14:paraId="775417FC">
      <w:pPr>
        <w:pStyle w:val="35"/>
        <w:ind w:firstLine="420"/>
      </w:pPr>
      <w:bookmarkStart w:id="53" w:name="_Toc16609"/>
      <w:bookmarkStart w:id="54" w:name="_Toc27964"/>
      <w:bookmarkStart w:id="55" w:name="_Toc30732"/>
      <w:bookmarkStart w:id="56" w:name="_Toc320021803"/>
      <w:bookmarkStart w:id="57" w:name="_Toc23037"/>
      <w:bookmarkStart w:id="58" w:name="_Toc23241"/>
      <w:bookmarkStart w:id="59" w:name="_Toc20000"/>
      <w:r>
        <w:t>GB 17167  用能单位能源计量器具配备和管理通则</w:t>
      </w:r>
    </w:p>
    <w:p w14:paraId="70291E26">
      <w:pPr>
        <w:pStyle w:val="35"/>
        <w:ind w:firstLine="420"/>
      </w:pPr>
      <w:r>
        <w:t>GB 18382  肥料标识  内容和要求</w:t>
      </w:r>
    </w:p>
    <w:p w14:paraId="74767E87">
      <w:pPr>
        <w:pStyle w:val="35"/>
        <w:ind w:firstLine="420"/>
      </w:pPr>
      <w:r>
        <w:t>GB 18599  一般工业固体废物贮存和填埋污染控制标准</w:t>
      </w:r>
    </w:p>
    <w:p w14:paraId="00E10273">
      <w:pPr>
        <w:pStyle w:val="35"/>
        <w:ind w:firstLine="420"/>
      </w:pPr>
      <w:r>
        <w:t>GB 21344  化肥行业单位产品能源消耗限额</w:t>
      </w:r>
    </w:p>
    <w:p w14:paraId="53279D90">
      <w:pPr>
        <w:pStyle w:val="35"/>
        <w:ind w:firstLine="420"/>
      </w:pPr>
      <w:r>
        <w:t>GB 38400  肥料中有毒有害物质的限量要求</w:t>
      </w:r>
    </w:p>
    <w:p w14:paraId="31D48876">
      <w:pPr>
        <w:pStyle w:val="35"/>
        <w:ind w:firstLine="420"/>
      </w:pPr>
      <w:r>
        <w:t>GB/T 535  肥料级硫酸铵</w:t>
      </w:r>
    </w:p>
    <w:p w14:paraId="4183F26E">
      <w:pPr>
        <w:pStyle w:val="35"/>
        <w:ind w:firstLine="420"/>
      </w:pPr>
      <w:r>
        <w:t>GB/T 2440  尿素</w:t>
      </w:r>
    </w:p>
    <w:p w14:paraId="7DF83E73">
      <w:pPr>
        <w:pStyle w:val="35"/>
        <w:ind w:firstLine="420"/>
      </w:pPr>
      <w:r>
        <w:t>GB/T 2441.1  尿素的测定方法  第1部分：总氮含量</w:t>
      </w:r>
    </w:p>
    <w:p w14:paraId="3780AF79">
      <w:pPr>
        <w:pStyle w:val="35"/>
        <w:ind w:firstLine="420"/>
      </w:pPr>
      <w:r>
        <w:t>GB/T 2441.2  尿素的测定方法  第2部分：缩二脲含量  分光光度法</w:t>
      </w:r>
    </w:p>
    <w:p w14:paraId="5ED88BCC">
      <w:pPr>
        <w:pStyle w:val="35"/>
        <w:ind w:firstLine="420"/>
      </w:pPr>
      <w:r>
        <w:t>GB/T 2441.9  尿素的测定方法  第9部分：亚甲基二脲含量  分光光度法</w:t>
      </w:r>
    </w:p>
    <w:p w14:paraId="3477FEF5">
      <w:pPr>
        <w:pStyle w:val="35"/>
        <w:ind w:firstLine="420"/>
      </w:pPr>
      <w:r>
        <w:t>GB/T 2589  综合能耗计算通则</w:t>
      </w:r>
    </w:p>
    <w:p w14:paraId="7A7CBB6A">
      <w:pPr>
        <w:pStyle w:val="35"/>
        <w:ind w:firstLine="420"/>
      </w:pPr>
      <w:r>
        <w:t>GB/T 2946  氯化铵</w:t>
      </w:r>
    </w:p>
    <w:p w14:paraId="1E2EDD7A">
      <w:pPr>
        <w:pStyle w:val="35"/>
        <w:ind w:firstLine="420"/>
      </w:pPr>
      <w:r>
        <w:t>GB/T 6274  肥料和土壤调理剂  术语</w:t>
      </w:r>
    </w:p>
    <w:p w14:paraId="06F3507D">
      <w:pPr>
        <w:pStyle w:val="35"/>
        <w:ind w:firstLine="420"/>
      </w:pPr>
      <w:r>
        <w:t>GB/T 7119  节水型企业评价导则</w:t>
      </w:r>
    </w:p>
    <w:p w14:paraId="3F63839B">
      <w:pPr>
        <w:pStyle w:val="35"/>
        <w:ind w:firstLine="420"/>
      </w:pPr>
      <w:r>
        <w:t>GB/T 8170  数值修约规则与极限数值的表示和判定</w:t>
      </w:r>
    </w:p>
    <w:p w14:paraId="67BCB3FD">
      <w:pPr>
        <w:pStyle w:val="35"/>
        <w:ind w:firstLine="420"/>
      </w:pPr>
      <w:r>
        <w:t>GB/T 8572  复混肥料中总氮含量的测定  蒸馏后滴定法</w:t>
      </w:r>
    </w:p>
    <w:p w14:paraId="4D51D337">
      <w:pPr>
        <w:pStyle w:val="35"/>
        <w:ind w:firstLine="420"/>
      </w:pPr>
      <w:r>
        <w:t>GB/T 8574  复合肥料中钾含量的测定</w:t>
      </w:r>
    </w:p>
    <w:p w14:paraId="5720CACF">
      <w:pPr>
        <w:pStyle w:val="35"/>
        <w:ind w:firstLine="420"/>
      </w:pPr>
      <w:r>
        <w:t>GB/T 10205  磷酸一铵、磷酸二铵</w:t>
      </w:r>
    </w:p>
    <w:p w14:paraId="20113B45">
      <w:pPr>
        <w:pStyle w:val="35"/>
        <w:ind w:firstLine="420"/>
      </w:pPr>
      <w:r>
        <w:t>GB/T 10209.1  磷酸一铵、磷酸二铵的测定方法  第1部分：总氮含量</w:t>
      </w:r>
    </w:p>
    <w:p w14:paraId="501B9843">
      <w:pPr>
        <w:pStyle w:val="35"/>
        <w:ind w:firstLine="420"/>
      </w:pPr>
      <w:r>
        <w:t>GB/T 10209.2  磷酸一铵、磷酸二铵的测定方法  第2部分：磷含量</w:t>
      </w:r>
    </w:p>
    <w:p w14:paraId="4DAD2625">
      <w:pPr>
        <w:pStyle w:val="35"/>
        <w:ind w:firstLine="420"/>
      </w:pPr>
      <w:r>
        <w:t>GB/T 10510  硝酸磷肥、硝酸磷钾肥</w:t>
      </w:r>
    </w:p>
    <w:p w14:paraId="069D3130">
      <w:pPr>
        <w:pStyle w:val="35"/>
        <w:ind w:firstLine="420"/>
      </w:pPr>
      <w:r>
        <w:t>GB/T 10511  硝酸磷肥中总氮含量的测定  蒸馏后滴定法</w:t>
      </w:r>
    </w:p>
    <w:p w14:paraId="5774A673">
      <w:pPr>
        <w:pStyle w:val="35"/>
        <w:ind w:firstLine="420"/>
      </w:pPr>
      <w:r>
        <w:t>GB/T 10512  硝酸磷肥中磷含量的测定  磷钼酸喹啉重量法</w:t>
      </w:r>
    </w:p>
    <w:p w14:paraId="31226378">
      <w:pPr>
        <w:pStyle w:val="35"/>
        <w:ind w:firstLine="420"/>
      </w:pPr>
      <w:r>
        <w:t>GB/T 15063  复合肥料</w:t>
      </w:r>
    </w:p>
    <w:p w14:paraId="0F4EB655">
      <w:pPr>
        <w:pStyle w:val="35"/>
        <w:ind w:firstLine="420"/>
      </w:pPr>
      <w:r>
        <w:t>GB/T 18877  有机无机复混肥料</w:t>
      </w:r>
    </w:p>
    <w:p w14:paraId="59B59625">
      <w:pPr>
        <w:pStyle w:val="35"/>
        <w:ind w:firstLine="420"/>
      </w:pPr>
      <w:r>
        <w:t>GB/T 19001  质量管理体系  要求</w:t>
      </w:r>
    </w:p>
    <w:p w14:paraId="264DFD48">
      <w:pPr>
        <w:pStyle w:val="35"/>
        <w:ind w:firstLine="420"/>
      </w:pPr>
      <w:r>
        <w:t>GB/T 20406  农业用硫酸钾</w:t>
      </w:r>
    </w:p>
    <w:p w14:paraId="18FA85F4">
      <w:pPr>
        <w:pStyle w:val="35"/>
        <w:ind w:firstLine="420"/>
      </w:pPr>
      <w:r>
        <w:t>GB/T 20412  钙镁磷肥</w:t>
      </w:r>
    </w:p>
    <w:p w14:paraId="5DF1B077">
      <w:pPr>
        <w:pStyle w:val="35"/>
        <w:ind w:firstLine="420"/>
      </w:pPr>
      <w:r>
        <w:t>GB/T 20413  过磷酸钙</w:t>
      </w:r>
    </w:p>
    <w:p w14:paraId="1C0BA25E">
      <w:pPr>
        <w:pStyle w:val="35"/>
        <w:ind w:firstLine="420"/>
      </w:pPr>
      <w:r>
        <w:t>GB/T 21633  掺混肥料（BB肥）</w:t>
      </w:r>
    </w:p>
    <w:p w14:paraId="0560C186">
      <w:pPr>
        <w:pStyle w:val="35"/>
        <w:ind w:firstLine="420"/>
      </w:pPr>
      <w:r>
        <w:t>GB/T 21634  重过磷酸钙</w:t>
      </w:r>
    </w:p>
    <w:p w14:paraId="6BECEF32">
      <w:pPr>
        <w:pStyle w:val="35"/>
        <w:ind w:firstLine="420"/>
      </w:pPr>
      <w:r>
        <w:t>GB/T 22924  复合肥料中缩二脲含量的测定</w:t>
      </w:r>
    </w:p>
    <w:p w14:paraId="7BA12FDF">
      <w:pPr>
        <w:pStyle w:val="35"/>
        <w:ind w:firstLine="420"/>
      </w:pPr>
      <w:r>
        <w:t>GB/T 23331  能源管理体系  要求及使用指南</w:t>
      </w:r>
    </w:p>
    <w:p w14:paraId="71B66EA0">
      <w:pPr>
        <w:pStyle w:val="35"/>
        <w:ind w:firstLine="420"/>
      </w:pPr>
      <w:r>
        <w:t>GB/T 23348—2009  缓释肥料</w:t>
      </w:r>
    </w:p>
    <w:p w14:paraId="7EBEF0A0">
      <w:pPr>
        <w:pStyle w:val="35"/>
        <w:ind w:firstLine="420"/>
      </w:pPr>
      <w:r>
        <w:t>GB/T 23349  肥料中砷、镉、铬、铅、汞含量的测定</w:t>
      </w:r>
    </w:p>
    <w:p w14:paraId="7E2217BE">
      <w:pPr>
        <w:pStyle w:val="35"/>
        <w:ind w:firstLine="420"/>
      </w:pPr>
      <w:r>
        <w:t>GB/T 24001  环境管理体系  要求及使用指南</w:t>
      </w:r>
    </w:p>
    <w:p w14:paraId="7CF5CA55">
      <w:pPr>
        <w:pStyle w:val="35"/>
        <w:ind w:firstLine="420"/>
      </w:pPr>
      <w:r>
        <w:t>GB/T 24067  温室气体  产品碳足迹  量化要求和指南</w:t>
      </w:r>
    </w:p>
    <w:p w14:paraId="7C6017E2">
      <w:pPr>
        <w:pStyle w:val="35"/>
        <w:ind w:firstLine="420"/>
      </w:pPr>
      <w:r>
        <w:t>GB/T 29400  化肥中微量阴离子的测定  离子色谱法</w:t>
      </w:r>
    </w:p>
    <w:p w14:paraId="0D8146CB">
      <w:pPr>
        <w:pStyle w:val="35"/>
        <w:ind w:firstLine="420"/>
      </w:pPr>
      <w:r>
        <w:t>GB/T 31266  过磷酸钙中三氯乙醛含量的测定</w:t>
      </w:r>
    </w:p>
    <w:p w14:paraId="33859FCE">
      <w:pPr>
        <w:pStyle w:val="35"/>
        <w:ind w:firstLine="420"/>
      </w:pPr>
      <w:r>
        <w:t>GB/T 32952  肥料中多环芳烃含量的测定  气相色谱-质谱法</w:t>
      </w:r>
    </w:p>
    <w:p w14:paraId="2850754F">
      <w:pPr>
        <w:pStyle w:val="35"/>
        <w:ind w:firstLine="420"/>
      </w:pPr>
      <w:r>
        <w:t>GB/T 33761  绿色产品评价通则</w:t>
      </w:r>
    </w:p>
    <w:p w14:paraId="31B11883">
      <w:pPr>
        <w:pStyle w:val="35"/>
        <w:ind w:firstLine="420"/>
      </w:pPr>
      <w:r>
        <w:t>GB/T 35113—2017  稳定性肥料</w:t>
      </w:r>
    </w:p>
    <w:p w14:paraId="720637FF">
      <w:pPr>
        <w:pStyle w:val="35"/>
        <w:ind w:firstLine="420"/>
      </w:pPr>
      <w:r>
        <w:t>GB/T 37918  肥料级氯化钾</w:t>
      </w:r>
    </w:p>
    <w:p w14:paraId="739F2CBE">
      <w:pPr>
        <w:pStyle w:val="35"/>
        <w:ind w:firstLine="420"/>
      </w:pPr>
      <w:r>
        <w:t>GB/T 39356  肥料中总镍、总钴、总硒、总钒、总锑、总铊含量的测定  电感耦合等离子体发射光谱法</w:t>
      </w:r>
    </w:p>
    <w:p w14:paraId="3C845FA6">
      <w:pPr>
        <w:pStyle w:val="35"/>
        <w:ind w:firstLine="420"/>
      </w:pPr>
      <w:r>
        <w:t>GB/T 41222—2021  土壤质量  农田地表径流监测方法</w:t>
      </w:r>
    </w:p>
    <w:p w14:paraId="3D562910">
      <w:pPr>
        <w:pStyle w:val="35"/>
        <w:ind w:firstLine="420"/>
      </w:pPr>
      <w:r>
        <w:t>GB/T 41728  微生物肥料质量安全评价通用准则</w:t>
      </w:r>
    </w:p>
    <w:p w14:paraId="2D7228C6">
      <w:pPr>
        <w:pStyle w:val="35"/>
        <w:ind w:firstLine="420"/>
      </w:pPr>
      <w:r>
        <w:t>GB/T 42307  肥料和土壤调理剂  尿素基肥料中缩二脲含量的测定  高效液相色谱法</w:t>
      </w:r>
    </w:p>
    <w:p w14:paraId="0F93053B">
      <w:pPr>
        <w:pStyle w:val="35"/>
        <w:ind w:firstLine="420"/>
      </w:pPr>
      <w:r>
        <w:t>GB/T 42958  肥料产品使用说明编写指南</w:t>
      </w:r>
    </w:p>
    <w:p w14:paraId="163C5EFC">
      <w:pPr>
        <w:pStyle w:val="35"/>
        <w:ind w:firstLine="420"/>
      </w:pPr>
      <w:r>
        <w:t>GB/T 45001  职业健康安全管理体系  要求及使用指南</w:t>
      </w:r>
    </w:p>
    <w:p w14:paraId="2514A604">
      <w:pPr>
        <w:pStyle w:val="35"/>
        <w:ind w:firstLine="420"/>
      </w:pPr>
      <w:r>
        <w:t>GB/T 47215—2026  土壤氨挥发测定方法</w:t>
      </w:r>
    </w:p>
    <w:p w14:paraId="2431B156">
      <w:pPr>
        <w:pStyle w:val="35"/>
        <w:ind w:firstLine="420"/>
      </w:pPr>
      <w:r>
        <w:t>HG/T 4215—2011  控释肥料</w:t>
      </w:r>
    </w:p>
    <w:p w14:paraId="216CE777">
      <w:pPr>
        <w:pStyle w:val="35"/>
        <w:ind w:firstLine="420"/>
      </w:pPr>
      <w:r>
        <w:t>HG/T 4217—2011  无机包裹型复混肥料（复合肥料）</w:t>
      </w:r>
    </w:p>
    <w:p w14:paraId="69F8950C">
      <w:pPr>
        <w:pStyle w:val="35"/>
        <w:ind w:firstLine="420"/>
      </w:pPr>
      <w:r>
        <w:t>HG/T 5045—2016  含腐植酸尿素</w:t>
      </w:r>
    </w:p>
    <w:p w14:paraId="007ADEE1">
      <w:pPr>
        <w:pStyle w:val="35"/>
        <w:ind w:firstLine="420"/>
      </w:pPr>
      <w:r>
        <w:t>HG/T 5046—2016  腐植酸复合肥料</w:t>
      </w:r>
    </w:p>
    <w:p w14:paraId="04C51856">
      <w:pPr>
        <w:pStyle w:val="35"/>
        <w:ind w:firstLine="420"/>
      </w:pPr>
      <w:r>
        <w:t>HG/T 5047  复混肥料（复合肥料）单位产品能源消耗限额及计算方法</w:t>
      </w:r>
    </w:p>
    <w:p w14:paraId="1843505F">
      <w:pPr>
        <w:pStyle w:val="35"/>
        <w:ind w:firstLine="420"/>
      </w:pPr>
      <w:r>
        <w:t>HG/T 5050—2016  海藻酸类肥料</w:t>
      </w:r>
    </w:p>
    <w:p w14:paraId="696F032A">
      <w:pPr>
        <w:pStyle w:val="35"/>
        <w:ind w:firstLine="420"/>
      </w:pPr>
      <w:r>
        <w:t>HG/T 5514—2019  含腐植酸磷酸一铵、磷酸二铵</w:t>
      </w:r>
    </w:p>
    <w:p w14:paraId="62D95B19">
      <w:pPr>
        <w:pStyle w:val="35"/>
        <w:ind w:firstLine="420"/>
      </w:pPr>
      <w:r>
        <w:t>HG/T 5515—2019  含海藻酸磷酸一铵、磷酸二铵</w:t>
      </w:r>
    </w:p>
    <w:p w14:paraId="4788AF44">
      <w:pPr>
        <w:pStyle w:val="35"/>
        <w:ind w:firstLine="420"/>
      </w:pPr>
      <w:r>
        <w:t>HG/T 5519—2019  含肥效保持剂肥料</w:t>
      </w:r>
    </w:p>
    <w:p w14:paraId="5DD780CA">
      <w:pPr>
        <w:pStyle w:val="35"/>
        <w:ind w:firstLine="420"/>
      </w:pPr>
      <w:r>
        <w:rPr>
          <w:rFonts w:hint="eastAsia"/>
        </w:rPr>
        <w:t>HG/T 6024—2022 绿色设计产品评价技术规范 液体肥料</w:t>
      </w:r>
    </w:p>
    <w:p w14:paraId="2259040F">
      <w:pPr>
        <w:pStyle w:val="35"/>
        <w:ind w:firstLine="420"/>
      </w:pPr>
      <w:r>
        <w:rPr>
          <w:rFonts w:hint="eastAsia"/>
        </w:rPr>
        <w:t>HG/T 6026—2022 绿色设计产品评价技术规范 有机类肥料</w:t>
      </w:r>
    </w:p>
    <w:p w14:paraId="61B88DBB">
      <w:pPr>
        <w:pStyle w:val="35"/>
        <w:ind w:firstLine="420"/>
      </w:pPr>
      <w:r>
        <w:t>HJ 864.1  排污许可证申请与核发技术规范  化肥工业—氮肥</w:t>
      </w:r>
    </w:p>
    <w:p w14:paraId="00222A76">
      <w:pPr>
        <w:pStyle w:val="35"/>
        <w:ind w:firstLine="420"/>
      </w:pPr>
      <w:r>
        <w:t>HJ 864.2  排污许可证申请与核发技术规范  磷肥、钾肥、复混肥料、有机肥料和微生物肥料工业</w:t>
      </w:r>
    </w:p>
    <w:p w14:paraId="39C39715">
      <w:pPr>
        <w:pStyle w:val="35"/>
        <w:ind w:firstLine="420"/>
      </w:pPr>
      <w:r>
        <w:t>NY 884—2012  生物有机肥</w:t>
      </w:r>
    </w:p>
    <w:p w14:paraId="1F87CC89">
      <w:pPr>
        <w:pStyle w:val="35"/>
        <w:ind w:firstLine="420"/>
      </w:pPr>
      <w:r>
        <w:t>NY/T 525—2026  有机肥料</w:t>
      </w:r>
    </w:p>
    <w:p w14:paraId="37BE65B5">
      <w:pPr>
        <w:pStyle w:val="35"/>
        <w:ind w:firstLine="420"/>
      </w:pPr>
      <w:r>
        <w:t>NY/T 1107—2020  大量元素水溶肥料</w:t>
      </w:r>
    </w:p>
    <w:p w14:paraId="1E50A49A">
      <w:pPr>
        <w:pStyle w:val="35"/>
        <w:ind w:firstLine="420"/>
      </w:pPr>
      <w:r>
        <w:t>NY/T 1119—2019  耕地质量监测技术规程</w:t>
      </w:r>
    </w:p>
    <w:p w14:paraId="16C7653D">
      <w:pPr>
        <w:pStyle w:val="35"/>
        <w:ind w:firstLine="420"/>
      </w:pPr>
      <w:r>
        <w:t>NY/T 1121.1—2006  土壤检测  第1部分：土壤样品的采集、处理和贮存</w:t>
      </w:r>
    </w:p>
    <w:p w14:paraId="7A839EF6">
      <w:pPr>
        <w:pStyle w:val="35"/>
        <w:ind w:firstLine="420"/>
      </w:pPr>
      <w:r>
        <w:t>NY/T 1121.2—2006  土壤检测  第2部分：土壤pH的测定</w:t>
      </w:r>
    </w:p>
    <w:p w14:paraId="26764059">
      <w:pPr>
        <w:pStyle w:val="35"/>
        <w:ind w:firstLine="420"/>
      </w:pPr>
      <w:r>
        <w:t>NY/T 1121.4—2006  土壤检测  第4部分：土壤容重的测定</w:t>
      </w:r>
    </w:p>
    <w:p w14:paraId="218F6F46">
      <w:pPr>
        <w:pStyle w:val="35"/>
        <w:ind w:firstLine="420"/>
      </w:pPr>
      <w:r>
        <w:t>NY/T 1121.5—2006  土壤检测  第5部分：石灰性土壤阳离子交换量的测定</w:t>
      </w:r>
    </w:p>
    <w:p w14:paraId="16AC9B36">
      <w:pPr>
        <w:pStyle w:val="35"/>
        <w:ind w:firstLine="420"/>
      </w:pPr>
      <w:r>
        <w:t>NY/T 1121.6—2006  土壤检测  第6部分：土壤有机质的测定</w:t>
      </w:r>
    </w:p>
    <w:p w14:paraId="76CB24BB">
      <w:pPr>
        <w:pStyle w:val="35"/>
        <w:ind w:firstLine="420"/>
      </w:pPr>
      <w:r>
        <w:t>NY/T 1121.16—2006  土壤检测  第16部分：土壤水溶性盐总量的测定</w:t>
      </w:r>
    </w:p>
    <w:p w14:paraId="6A4D0A06">
      <w:pPr>
        <w:pStyle w:val="35"/>
        <w:ind w:firstLine="420"/>
      </w:pPr>
      <w:r>
        <w:t>NY/T 1121.19—2008  土壤检测  第19部分：土壤水稳性大团聚体组成的测定</w:t>
      </w:r>
    </w:p>
    <w:p w14:paraId="28867E32">
      <w:pPr>
        <w:pStyle w:val="35"/>
        <w:ind w:firstLine="420"/>
      </w:pPr>
      <w:r>
        <w:t>NY/T 1121.20—2008  土壤检测  第20部分：土壤微团聚体组成的测定</w:t>
      </w:r>
    </w:p>
    <w:p w14:paraId="4AA3FADD">
      <w:pPr>
        <w:pStyle w:val="35"/>
        <w:ind w:firstLine="420"/>
      </w:pPr>
      <w:r>
        <w:t>NY/T 1536—2025  微生物肥料田间试验与效果评价技术规程</w:t>
      </w:r>
    </w:p>
    <w:p w14:paraId="0FDBBAB1">
      <w:pPr>
        <w:pStyle w:val="35"/>
        <w:ind w:firstLine="420"/>
      </w:pPr>
      <w:r>
        <w:t>NY/T 2267—2016  缓释肥料</w:t>
      </w:r>
    </w:p>
    <w:p w14:paraId="7B95D9EF">
      <w:pPr>
        <w:pStyle w:val="35"/>
        <w:ind w:firstLine="420"/>
      </w:pPr>
      <w:r>
        <w:t>NY/T 2271—2016  土壤调理剂  效果试验和评价要求</w:t>
      </w:r>
    </w:p>
    <w:p w14:paraId="3ED6AA86">
      <w:pPr>
        <w:pStyle w:val="35"/>
        <w:ind w:firstLine="420"/>
      </w:pPr>
      <w:r>
        <w:t>NY/T 2544—2014  肥料效果试验和评价通用要求</w:t>
      </w:r>
    </w:p>
    <w:p w14:paraId="4C58A488">
      <w:pPr>
        <w:pStyle w:val="35"/>
        <w:ind w:firstLine="420"/>
      </w:pPr>
      <w:r>
        <w:t>NY/T 2911—2025  测土配方施肥技术规程</w:t>
      </w:r>
    </w:p>
    <w:p w14:paraId="7FACC4AD">
      <w:pPr>
        <w:pStyle w:val="35"/>
        <w:ind w:firstLine="420"/>
      </w:pPr>
      <w:r>
        <w:t>NY/T 3040—2016  缓释肥料  养分释放率的测定</w:t>
      </w:r>
    </w:p>
    <w:p w14:paraId="220227CC">
      <w:pPr>
        <w:pStyle w:val="35"/>
        <w:ind w:firstLine="420"/>
      </w:pPr>
      <w:r>
        <w:t>NY/T 3552—2020  大量元素水溶肥料田间试验技术规范</w:t>
      </w:r>
    </w:p>
    <w:p w14:paraId="47BD75D4">
      <w:pPr>
        <w:pStyle w:val="35"/>
        <w:ind w:firstLine="420"/>
      </w:pPr>
      <w:r>
        <w:t>NY/T 3824—2020  流域农业面源污染监测技术规范</w:t>
      </w:r>
    </w:p>
    <w:p w14:paraId="4A5E331C">
      <w:pPr>
        <w:pStyle w:val="35"/>
        <w:ind w:firstLine="420"/>
      </w:pPr>
      <w:r>
        <w:t>NY/T 4300—2023  气候智慧型农业  作物生产固碳减排监测与核算规范</w:t>
      </w:r>
    </w:p>
    <w:p w14:paraId="1ADBA4FF">
      <w:pPr>
        <w:pStyle w:val="35"/>
        <w:ind w:firstLine="420"/>
      </w:pPr>
      <w:r>
        <w:t>NY/T 4542—2025  微生物肥料环境效应评价规程</w:t>
      </w:r>
    </w:p>
    <w:p w14:paraId="28A872CE">
      <w:pPr>
        <w:pStyle w:val="35"/>
        <w:ind w:firstLine="420"/>
        <w:rPr>
          <w:rFonts w:hint="eastAsia"/>
          <w:b/>
          <w:bCs/>
          <w:szCs w:val="28"/>
        </w:rPr>
      </w:pPr>
      <w:r>
        <w:t>T/CPFIA 0006—2022  含聚谷氨酸复合肥料</w:t>
      </w:r>
    </w:p>
    <w:p w14:paraId="6B2ABA1D">
      <w:pPr>
        <w:widowControl/>
        <w:spacing w:line="480" w:lineRule="exact"/>
        <w:ind w:firstLine="422" w:firstLineChars="200"/>
        <w:outlineLvl w:val="0"/>
        <w:rPr>
          <w:b/>
          <w:bCs/>
          <w:szCs w:val="28"/>
        </w:rPr>
      </w:pPr>
      <w:bookmarkStart w:id="60" w:name="_Toc1142802644"/>
      <w:r>
        <w:rPr>
          <w:rFonts w:hint="eastAsia"/>
          <w:b/>
          <w:bCs/>
          <w:szCs w:val="28"/>
        </w:rPr>
        <w:t>（二）</w:t>
      </w:r>
      <w:r>
        <w:rPr>
          <w:b/>
          <w:bCs/>
          <w:szCs w:val="28"/>
        </w:rPr>
        <w:t>主要内容及其确定依据</w:t>
      </w:r>
      <w:bookmarkEnd w:id="53"/>
      <w:bookmarkEnd w:id="60"/>
    </w:p>
    <w:p w14:paraId="49572966">
      <w:pPr>
        <w:spacing w:line="480" w:lineRule="exact"/>
        <w:ind w:firstLine="420" w:firstLineChars="200"/>
        <w:rPr>
          <w:rFonts w:cs="仿宋"/>
          <w:szCs w:val="28"/>
        </w:rPr>
      </w:pPr>
      <w:r>
        <w:rPr>
          <w:rFonts w:hint="eastAsia" w:cs="仿宋"/>
          <w:szCs w:val="28"/>
        </w:rPr>
        <w:t>本标准分为范围、规范性引用文件、术语</w:t>
      </w:r>
      <w:r>
        <w:rPr>
          <w:rFonts w:hint="eastAsia" w:cs="仿宋"/>
          <w:szCs w:val="28"/>
          <w:lang w:eastAsia="zh-CN"/>
        </w:rPr>
        <w:t>和</w:t>
      </w:r>
      <w:r>
        <w:rPr>
          <w:rFonts w:hint="eastAsia" w:cs="仿宋"/>
          <w:szCs w:val="28"/>
        </w:rPr>
        <w:t>定义、</w:t>
      </w:r>
      <w:r>
        <w:rPr>
          <w:rFonts w:hint="eastAsia" w:cs="仿宋"/>
          <w:szCs w:val="28"/>
          <w:lang w:eastAsia="zh-CN"/>
        </w:rPr>
        <w:t>评价</w:t>
      </w:r>
      <w:r>
        <w:rPr>
          <w:rFonts w:hint="eastAsia" w:cs="仿宋"/>
          <w:szCs w:val="28"/>
        </w:rPr>
        <w:t>要求、</w:t>
      </w:r>
      <w:r>
        <w:rPr>
          <w:rFonts w:hint="eastAsia" w:cs="仿宋"/>
          <w:szCs w:val="28"/>
          <w:lang w:eastAsia="zh-CN"/>
        </w:rPr>
        <w:t>评价方法</w:t>
      </w:r>
      <w:r>
        <w:rPr>
          <w:rFonts w:hint="eastAsia" w:cs="仿宋"/>
          <w:szCs w:val="28"/>
        </w:rPr>
        <w:t>等</w:t>
      </w:r>
      <w:r>
        <w:rPr>
          <w:rFonts w:hint="eastAsia" w:cs="仿宋"/>
          <w:szCs w:val="28"/>
          <w:lang w:val="en-US" w:eastAsia="zh-CN"/>
        </w:rPr>
        <w:t>5</w:t>
      </w:r>
      <w:r>
        <w:rPr>
          <w:rFonts w:hint="eastAsia" w:cs="仿宋"/>
          <w:szCs w:val="28"/>
        </w:rPr>
        <w:t>部分，主要内容如下：</w:t>
      </w:r>
    </w:p>
    <w:p w14:paraId="034D75A2">
      <w:pPr>
        <w:spacing w:line="480" w:lineRule="exact"/>
        <w:ind w:firstLine="422" w:firstLineChars="200"/>
        <w:outlineLvl w:val="1"/>
        <w:rPr>
          <w:b/>
          <w:bCs/>
          <w:szCs w:val="28"/>
        </w:rPr>
      </w:pPr>
      <w:r>
        <w:rPr>
          <w:rFonts w:hint="eastAsia"/>
          <w:b/>
          <w:bCs/>
          <w:szCs w:val="28"/>
        </w:rPr>
        <w:t>1.范围</w:t>
      </w:r>
    </w:p>
    <w:p w14:paraId="46BCF87E">
      <w:pPr>
        <w:spacing w:line="480" w:lineRule="exact"/>
        <w:ind w:firstLine="420" w:firstLineChars="200"/>
        <w:rPr>
          <w:rFonts w:hint="eastAsia" w:cs="仿宋"/>
          <w:szCs w:val="28"/>
        </w:rPr>
      </w:pPr>
      <w:r>
        <w:rPr>
          <w:rFonts w:hint="eastAsia" w:cs="仿宋"/>
          <w:szCs w:val="28"/>
        </w:rPr>
        <w:t>本文件规定了绿色肥料产品的基本要求、评价指标要求和评价方法。</w:t>
      </w:r>
    </w:p>
    <w:p w14:paraId="186DEB27">
      <w:pPr>
        <w:spacing w:line="480" w:lineRule="exact"/>
        <w:ind w:firstLine="420" w:firstLineChars="200"/>
        <w:rPr>
          <w:rFonts w:cs="仿宋"/>
          <w:szCs w:val="28"/>
        </w:rPr>
      </w:pPr>
      <w:r>
        <w:rPr>
          <w:rFonts w:hint="eastAsia" w:cs="仿宋"/>
          <w:szCs w:val="28"/>
        </w:rPr>
        <w:t>本文件适用于尿素、氯化铵、肥料级硫酸铵、过磷酸钙、重过磷酸钙、钙镁磷肥、肥料级氯化钾、农业用硫酸钾、硝酸磷肥、硝酸磷钾肥、磷酸一铵、磷酸二铵、复合肥料、掺混肥料、有机肥料、有机无机复混肥料、生物有机肥和大量元素水溶肥料（液体、固体）的绿色产品评价。</w:t>
      </w:r>
    </w:p>
    <w:p w14:paraId="3E12504B">
      <w:pPr>
        <w:spacing w:line="480" w:lineRule="exact"/>
        <w:ind w:firstLine="422" w:firstLineChars="200"/>
        <w:outlineLvl w:val="1"/>
        <w:rPr>
          <w:b/>
          <w:bCs/>
          <w:szCs w:val="28"/>
        </w:rPr>
      </w:pPr>
      <w:r>
        <w:rPr>
          <w:rFonts w:hint="eastAsia"/>
          <w:b/>
          <w:bCs/>
          <w:szCs w:val="28"/>
        </w:rPr>
        <w:t>2.规范性引用文件</w:t>
      </w:r>
    </w:p>
    <w:p w14:paraId="4B03E1B2">
      <w:pPr>
        <w:numPr>
          <w:ilvl w:val="255"/>
          <w:numId w:val="0"/>
        </w:numPr>
        <w:spacing w:line="480" w:lineRule="exact"/>
        <w:ind w:firstLine="420" w:firstLineChars="200"/>
        <w:rPr>
          <w:rFonts w:hint="eastAsia" w:eastAsia="宋体" w:cs="仿宋"/>
          <w:szCs w:val="28"/>
          <w:lang w:eastAsia="zh-CN"/>
        </w:rPr>
      </w:pPr>
      <w:r>
        <w:rPr>
          <w:szCs w:val="28"/>
        </w:rPr>
        <w:t>本</w:t>
      </w:r>
      <w:r>
        <w:rPr>
          <w:rFonts w:hint="eastAsia"/>
          <w:szCs w:val="28"/>
          <w:lang w:eastAsia="zh-CN"/>
        </w:rPr>
        <w:t>文件</w:t>
      </w:r>
      <w:r>
        <w:rPr>
          <w:szCs w:val="28"/>
        </w:rPr>
        <w:t>所引用的国家</w:t>
      </w:r>
      <w:r>
        <w:rPr>
          <w:rFonts w:hint="eastAsia"/>
          <w:szCs w:val="28"/>
          <w:lang w:eastAsia="zh-CN"/>
        </w:rPr>
        <w:t>标准、行业标准、团体标准</w:t>
      </w:r>
      <w:r>
        <w:rPr>
          <w:szCs w:val="28"/>
        </w:rPr>
        <w:t>均</w:t>
      </w:r>
      <w:r>
        <w:rPr>
          <w:rFonts w:hint="eastAsia"/>
          <w:szCs w:val="28"/>
        </w:rPr>
        <w:t>在</w:t>
      </w:r>
      <w:r>
        <w:rPr>
          <w:szCs w:val="28"/>
        </w:rPr>
        <w:t>条文中给出编号，以便使用时查找。</w:t>
      </w:r>
      <w:r>
        <w:rPr>
          <w:rFonts w:hint="eastAsia"/>
          <w:szCs w:val="28"/>
          <w:lang w:eastAsia="zh-CN"/>
        </w:rPr>
        <w:t>其中</w:t>
      </w:r>
      <w:r>
        <w:rPr>
          <w:rFonts w:hint="eastAsia"/>
        </w:rPr>
        <w:t>，注日期的引用文件，仅该日期对应的版本适用于本文件；不注日期的引用文件，其最新版本（包括所有的修改单）适用于本文件。</w:t>
      </w:r>
    </w:p>
    <w:p w14:paraId="2D40716A">
      <w:pPr>
        <w:spacing w:line="480" w:lineRule="exact"/>
        <w:ind w:firstLine="422" w:firstLineChars="200"/>
        <w:outlineLvl w:val="1"/>
        <w:rPr>
          <w:b/>
          <w:bCs/>
          <w:szCs w:val="28"/>
        </w:rPr>
      </w:pPr>
      <w:r>
        <w:rPr>
          <w:rFonts w:hint="eastAsia"/>
          <w:b/>
          <w:bCs/>
          <w:szCs w:val="28"/>
        </w:rPr>
        <w:t>3.术语和定义</w:t>
      </w:r>
    </w:p>
    <w:p w14:paraId="33B8D340">
      <w:pPr>
        <w:autoSpaceDE w:val="0"/>
        <w:autoSpaceDN w:val="0"/>
        <w:spacing w:line="480" w:lineRule="exact"/>
        <w:ind w:firstLine="420" w:firstLineChars="200"/>
        <w:rPr>
          <w:rFonts w:hint="eastAsia" w:eastAsia="宋体" w:cs="仿宋"/>
          <w:szCs w:val="28"/>
          <w:lang w:eastAsia="zh-CN"/>
        </w:rPr>
      </w:pPr>
      <w:r>
        <w:rPr>
          <w:rFonts w:hint="eastAsia"/>
          <w:szCs w:val="28"/>
        </w:rPr>
        <w:t>对</w:t>
      </w:r>
      <w:r>
        <w:t>评价肥料处理</w:t>
      </w:r>
      <w:r>
        <w:rPr>
          <w:rFonts w:hint="eastAsia"/>
          <w:szCs w:val="28"/>
        </w:rPr>
        <w:t>、</w:t>
      </w:r>
      <w:r>
        <w:t>常规施肥处理</w:t>
      </w:r>
      <w:r>
        <w:rPr>
          <w:rFonts w:hint="eastAsia"/>
          <w:szCs w:val="28"/>
        </w:rPr>
        <w:t>、</w:t>
      </w:r>
      <w:r>
        <w:t>空白或缺素对照</w:t>
      </w:r>
      <w:r>
        <w:rPr>
          <w:rFonts w:hint="eastAsia"/>
          <w:szCs w:val="28"/>
        </w:rPr>
        <w:t>、</w:t>
      </w:r>
      <w:r>
        <w:t>有效试验单元</w:t>
      </w:r>
      <w:r>
        <w:rPr>
          <w:rFonts w:hint="eastAsia"/>
          <w:szCs w:val="28"/>
        </w:rPr>
        <w:t>、</w:t>
      </w:r>
      <w:r>
        <w:t>控制养分</w:t>
      </w:r>
      <w:r>
        <w:rPr>
          <w:rFonts w:hint="eastAsia"/>
          <w:szCs w:val="28"/>
        </w:rPr>
        <w:t>五个术语进行了定义说明，便于标准应用者理解和应用。上述术语的定义是</w:t>
      </w:r>
      <w:r>
        <w:rPr>
          <w:rFonts w:hint="eastAsia"/>
          <w:szCs w:val="28"/>
          <w:lang w:eastAsia="zh-CN"/>
        </w:rPr>
        <w:t>参考NY/T 2544—2014《肥料效果试验和评价通用要求》等标准的术语，</w:t>
      </w:r>
      <w:r>
        <w:rPr>
          <w:rFonts w:hint="eastAsia"/>
          <w:szCs w:val="28"/>
        </w:rPr>
        <w:t>依照立项之初和项目论证时的确认，并结合当前实际及未来发展需要综合给出的</w:t>
      </w:r>
      <w:r>
        <w:rPr>
          <w:rFonts w:hint="eastAsia"/>
          <w:szCs w:val="28"/>
          <w:lang w:eastAsia="zh-CN"/>
        </w:rPr>
        <w:t>。</w:t>
      </w:r>
    </w:p>
    <w:p w14:paraId="0724A09B">
      <w:pPr>
        <w:spacing w:line="480" w:lineRule="exact"/>
        <w:ind w:firstLine="422" w:firstLineChars="200"/>
        <w:outlineLvl w:val="1"/>
        <w:rPr>
          <w:rFonts w:hint="eastAsia" w:eastAsia="宋体"/>
          <w:b/>
          <w:bCs/>
          <w:szCs w:val="28"/>
          <w:lang w:eastAsia="zh-CN"/>
        </w:rPr>
      </w:pPr>
      <w:r>
        <w:rPr>
          <w:rFonts w:hint="eastAsia"/>
          <w:b/>
          <w:bCs/>
          <w:szCs w:val="28"/>
        </w:rPr>
        <w:t>4.</w:t>
      </w:r>
      <w:r>
        <w:rPr>
          <w:rFonts w:hint="eastAsia"/>
          <w:b/>
          <w:bCs/>
          <w:szCs w:val="28"/>
          <w:lang w:eastAsia="zh-CN"/>
        </w:rPr>
        <w:t>评价要求</w:t>
      </w:r>
    </w:p>
    <w:p w14:paraId="1326EE44">
      <w:pPr>
        <w:autoSpaceDE w:val="0"/>
        <w:autoSpaceDN w:val="0"/>
        <w:spacing w:line="480" w:lineRule="exact"/>
        <w:ind w:firstLine="420" w:firstLineChars="200"/>
        <w:rPr>
          <w:rFonts w:hint="eastAsia"/>
          <w:szCs w:val="28"/>
        </w:rPr>
      </w:pPr>
      <w:r>
        <w:rPr>
          <w:rFonts w:hint="eastAsia"/>
          <w:szCs w:val="28"/>
        </w:rPr>
        <w:t>本节对</w:t>
      </w:r>
      <w:r>
        <w:rPr>
          <w:rFonts w:hint="eastAsia" w:cs="仿宋"/>
          <w:szCs w:val="28"/>
          <w:lang w:eastAsia="zh-CN"/>
        </w:rPr>
        <w:t>绿色肥料产品评价的要求</w:t>
      </w:r>
      <w:r>
        <w:rPr>
          <w:rFonts w:hint="eastAsia" w:cs="仿宋"/>
          <w:szCs w:val="28"/>
        </w:rPr>
        <w:t>进行了描述，包括</w:t>
      </w:r>
      <w:r>
        <w:rPr>
          <w:rFonts w:hint="eastAsia" w:cs="仿宋"/>
          <w:szCs w:val="28"/>
          <w:lang w:eastAsia="zh-CN"/>
        </w:rPr>
        <w:t>参评企业和产品的</w:t>
      </w:r>
      <w:r>
        <w:rPr>
          <w:rFonts w:hint="eastAsia" w:cs="仿宋"/>
          <w:szCs w:val="28"/>
        </w:rPr>
        <w:t>基本原则，</w:t>
      </w:r>
      <w:r>
        <w:rPr>
          <w:rFonts w:hint="eastAsia" w:cs="仿宋"/>
          <w:szCs w:val="28"/>
          <w:lang w:eastAsia="zh-CN"/>
        </w:rPr>
        <w:t>评价产品的指标要求、鼓励性要求</w:t>
      </w:r>
      <w:r>
        <w:rPr>
          <w:rFonts w:hint="eastAsia" w:cs="仿宋"/>
          <w:szCs w:val="28"/>
        </w:rPr>
        <w:t>等</w:t>
      </w:r>
      <w:r>
        <w:rPr>
          <w:rFonts w:hint="eastAsia"/>
          <w:szCs w:val="28"/>
        </w:rPr>
        <w:t>。</w:t>
      </w:r>
    </w:p>
    <w:p w14:paraId="52EFE7E7">
      <w:pPr>
        <w:autoSpaceDE w:val="0"/>
        <w:autoSpaceDN w:val="0"/>
        <w:spacing w:line="480" w:lineRule="exact"/>
        <w:ind w:firstLine="420" w:firstLineChars="200"/>
        <w:rPr>
          <w:rFonts w:hint="eastAsia"/>
          <w:szCs w:val="28"/>
        </w:rPr>
      </w:pPr>
      <w:r>
        <w:rPr>
          <w:rFonts w:hint="eastAsia"/>
          <w:szCs w:val="28"/>
        </w:rPr>
        <w:t>基本要求为开展绿色肥料产品评价的准入门槛，从企业安全生产、污染物排放、固体废物处置、能源计量器具配置、管理体系建设、产品登记备案、产品质量与标识安全、微生物菌种安全等方面提出强制性约束条件。只有全部满足本条款各项规定的企业及产品，方可进入后续指标评价环节。条款设置主要依据排污许可管理、能源计量、肥料产品标准、肥料有毒有害物质限量、微生物肥料安全等现行国家、行业标准及监管制度要求，对企业生产运行合规性、管理体系完备性、产品质量安全底线作出规定。</w:t>
      </w:r>
    </w:p>
    <w:p w14:paraId="0C56EE1C">
      <w:pPr>
        <w:autoSpaceDE w:val="0"/>
        <w:autoSpaceDN w:val="0"/>
        <w:spacing w:line="480" w:lineRule="exact"/>
        <w:ind w:firstLine="420" w:firstLineChars="200"/>
        <w:rPr>
          <w:rFonts w:hint="eastAsia"/>
          <w:szCs w:val="28"/>
        </w:rPr>
      </w:pPr>
      <w:r>
        <w:rPr>
          <w:rFonts w:hint="eastAsia"/>
          <w:szCs w:val="28"/>
        </w:rPr>
        <w:t>评价指标要求是本文件的核心技术内容，按照资源属性、能源属性、环境属性、品质属性、田间应用属性、低碳</w:t>
      </w:r>
      <w:r>
        <w:rPr>
          <w:rFonts w:hint="eastAsia"/>
          <w:szCs w:val="28"/>
          <w:lang w:eastAsia="zh-CN"/>
        </w:rPr>
        <w:t>属性</w:t>
      </w:r>
      <w:r>
        <w:rPr>
          <w:rFonts w:hint="eastAsia"/>
          <w:szCs w:val="28"/>
        </w:rPr>
        <w:t>六</w:t>
      </w:r>
      <w:r>
        <w:rPr>
          <w:rFonts w:hint="eastAsia"/>
          <w:szCs w:val="28"/>
          <w:lang w:eastAsia="zh-CN"/>
        </w:rPr>
        <w:t>个</w:t>
      </w:r>
      <w:r>
        <w:rPr>
          <w:rFonts w:hint="eastAsia"/>
          <w:szCs w:val="28"/>
        </w:rPr>
        <w:t>维度构建指标体系。针对本文件适用的18类肥料产品，分别制定共同评价指标以及各类产品专属评价指标，同时设置绿色功能与技术特征认定要求。指标取值充分结合我国化肥行业生产工艺、装备水平、污染治理现状，区分绿色标杆产品、绿色产品两个等级，兼顾先进性与行业可实现性。资源、能源、环境类指标统计边界明确为评价产品生产系统，以及工厂范围内为该生产系统配套的辅助、附属生产系统；针对共线生产情形，明确数据计量、分摊的处理原则，规定统计周期优先采用连续完整12个月生产数据，投产不足12个月的设置最低不少于6个月统计周期。品质指标采用批次检验/型式检验结果判定，不允许以年度平均值抵消不合格批次；数值修约统一执行 GB/T 8170的规定。表18规定绿色功能与技术特征认定要求，分为专项标准认定、田间效果验证两类模式，满足其中一项及以上，可纳入4.3鼓励性要求进行采信。</w:t>
      </w:r>
    </w:p>
    <w:p w14:paraId="2CF79129">
      <w:pPr>
        <w:autoSpaceDE w:val="0"/>
        <w:autoSpaceDN w:val="0"/>
        <w:spacing w:line="480" w:lineRule="exact"/>
        <w:ind w:firstLine="420" w:firstLineChars="200"/>
        <w:rPr>
          <w:rFonts w:hint="eastAsia"/>
          <w:szCs w:val="28"/>
        </w:rPr>
      </w:pPr>
      <w:r>
        <w:rPr>
          <w:rFonts w:hint="eastAsia"/>
          <w:szCs w:val="28"/>
        </w:rPr>
        <w:t>鼓励性要求属于引导性、非强制性加分内容，不设置强制达标门槛，主要从生产者责任延伸、可再生能源利用、企业低碳目标管理、节能降碳报告、供应链低碳管控、绿色功能技术特征6个方面提出导向性要求，用于区分绿色标杆产品与绿色产品的评价条件，引导企业在满足基础评价指标之上进一步开展绿色低碳提升工作。</w:t>
      </w:r>
    </w:p>
    <w:p w14:paraId="4CAD1934">
      <w:pPr>
        <w:spacing w:line="480" w:lineRule="exact"/>
        <w:ind w:firstLine="422" w:firstLineChars="200"/>
        <w:outlineLvl w:val="1"/>
        <w:rPr>
          <w:rFonts w:hint="eastAsia" w:eastAsia="宋体"/>
          <w:b/>
          <w:bCs/>
          <w:szCs w:val="28"/>
          <w:lang w:eastAsia="zh-CN"/>
        </w:rPr>
      </w:pPr>
      <w:r>
        <w:rPr>
          <w:rFonts w:hint="eastAsia"/>
          <w:b/>
          <w:bCs/>
          <w:szCs w:val="28"/>
        </w:rPr>
        <w:t>5.</w:t>
      </w:r>
      <w:r>
        <w:rPr>
          <w:rFonts w:hint="eastAsia"/>
          <w:b/>
          <w:bCs/>
          <w:szCs w:val="28"/>
          <w:lang w:eastAsia="zh-CN"/>
        </w:rPr>
        <w:t>评价方法</w:t>
      </w:r>
    </w:p>
    <w:p w14:paraId="2C675CF3">
      <w:pPr>
        <w:widowControl/>
        <w:spacing w:line="480" w:lineRule="exact"/>
        <w:ind w:firstLine="420" w:firstLineChars="200"/>
        <w:outlineLvl w:val="0"/>
        <w:rPr>
          <w:rFonts w:hint="eastAsia"/>
          <w:b w:val="0"/>
          <w:bCs w:val="0"/>
          <w:szCs w:val="28"/>
        </w:rPr>
      </w:pPr>
      <w:bookmarkStart w:id="61" w:name="_Toc1833928056"/>
      <w:r>
        <w:rPr>
          <w:rFonts w:hint="eastAsia"/>
          <w:b w:val="0"/>
          <w:bCs w:val="0"/>
          <w:szCs w:val="28"/>
          <w:lang w:eastAsia="zh-CN"/>
        </w:rPr>
        <w:t>本节</w:t>
      </w:r>
      <w:r>
        <w:rPr>
          <w:rFonts w:hint="eastAsia"/>
          <w:b w:val="0"/>
          <w:bCs w:val="0"/>
          <w:szCs w:val="28"/>
        </w:rPr>
        <w:t>规定评价等级判定规则、指标计算与取值方法，用于统一评价过程中的计算口径、数据来源、判定逻辑，保证评价结果可复现、可比对。</w:t>
      </w:r>
    </w:p>
    <w:p w14:paraId="17062DFC">
      <w:pPr>
        <w:widowControl/>
        <w:spacing w:line="480" w:lineRule="exact"/>
        <w:ind w:firstLine="420" w:firstLineChars="200"/>
        <w:outlineLvl w:val="0"/>
        <w:rPr>
          <w:rFonts w:hint="eastAsia"/>
          <w:b w:val="0"/>
          <w:bCs w:val="0"/>
          <w:szCs w:val="28"/>
        </w:rPr>
      </w:pPr>
      <w:r>
        <w:rPr>
          <w:rFonts w:hint="eastAsia"/>
          <w:b w:val="0"/>
          <w:bCs w:val="0"/>
          <w:szCs w:val="28"/>
        </w:rPr>
        <w:t>评价等级与判定将评价结果划分为绿色标杆产品、绿色产品两个等级，分别明确两类等级需要满足的硬性指标条件以及鼓励性要求的数量门槛；区分普通肥料产品（表3</w:t>
      </w:r>
      <w:r>
        <w:rPr>
          <w:rFonts w:hint="eastAsia"/>
          <w:b w:val="0"/>
          <w:bCs w:val="0"/>
          <w:szCs w:val="28"/>
          <w:lang w:eastAsia="zh-CN"/>
        </w:rPr>
        <w:t>—</w:t>
      </w:r>
      <w:r>
        <w:rPr>
          <w:rFonts w:hint="eastAsia"/>
          <w:b w:val="0"/>
          <w:bCs w:val="0"/>
          <w:szCs w:val="28"/>
        </w:rPr>
        <w:t>表14）与有机类、水溶肥料产品（表15</w:t>
      </w:r>
      <w:r>
        <w:rPr>
          <w:rFonts w:hint="eastAsia"/>
          <w:b w:val="0"/>
          <w:bCs w:val="0"/>
          <w:szCs w:val="28"/>
          <w:lang w:eastAsia="zh-CN"/>
        </w:rPr>
        <w:t>—</w:t>
      </w:r>
      <w:r>
        <w:rPr>
          <w:rFonts w:hint="eastAsia"/>
          <w:b w:val="0"/>
          <w:bCs w:val="0"/>
          <w:szCs w:val="28"/>
        </w:rPr>
        <w:t>表17）设置差异化的鼓励性要求数量要求；同时明确当同一指标绿色标杆产品与绿色产品限值相同时，该指标不作为等级区分依据，由全部适用指标综合判定评价结果。</w:t>
      </w:r>
    </w:p>
    <w:p w14:paraId="0B3DFBA8">
      <w:pPr>
        <w:widowControl/>
        <w:spacing w:line="480" w:lineRule="exact"/>
        <w:ind w:firstLine="420" w:firstLineChars="200"/>
        <w:outlineLvl w:val="0"/>
        <w:rPr>
          <w:rFonts w:hint="eastAsia"/>
          <w:b w:val="0"/>
          <w:bCs w:val="0"/>
          <w:szCs w:val="28"/>
        </w:rPr>
      </w:pPr>
      <w:r>
        <w:rPr>
          <w:rFonts w:hint="eastAsia"/>
          <w:b w:val="0"/>
          <w:bCs w:val="0"/>
          <w:szCs w:val="28"/>
        </w:rPr>
        <w:t>计算和取值方法针对本文件评价指标中涉及的原材料养分收率、单位产品取水量、废水回用率、单位产品废气排放量、单位产品废水排放量、单位产品主要原材料消耗量、单一养分负偏差率、水的重复利用率、单位产品固体废弃物产生量、产品碳足迹等定量指标，逐一给出计算公式、符号释义、统计口径、数据边界。明确不同检测方法的选用规则：引用单一方法文件直接执行；多个方法文件分别对应不同项目的分别执行；以“或”连接的方法可择一采用；存在仲裁方法规定时优先执行仲裁方法。产品碳足迹明确按照GB/T 24067开展量化，系统边界限定为</w:t>
      </w:r>
      <w:r>
        <w:rPr>
          <w:rFonts w:hint="eastAsia"/>
        </w:rPr>
        <w:t>从原辅材料获取、能源获取、原辅料运输、产品生产至产品出厂</w:t>
      </w:r>
      <w:r>
        <w:rPr>
          <w:rFonts w:hint="eastAsia"/>
          <w:b w:val="0"/>
          <w:bCs w:val="0"/>
          <w:szCs w:val="28"/>
        </w:rPr>
        <w:t>，并在附录A</w:t>
      </w:r>
      <w:r>
        <w:rPr>
          <w:rFonts w:hint="eastAsia"/>
          <w:b w:val="0"/>
          <w:bCs w:val="0"/>
          <w:szCs w:val="28"/>
          <w:lang w:eastAsia="zh-CN"/>
        </w:rPr>
        <w:t>中</w:t>
      </w:r>
      <w:r>
        <w:rPr>
          <w:rFonts w:hint="eastAsia"/>
          <w:b w:val="0"/>
          <w:bCs w:val="0"/>
          <w:szCs w:val="28"/>
        </w:rPr>
        <w:t>给出碳足迹报告的资料性示例，规范报告编制结构，便于企业编制、评价机构复核。田间应用效果相关指标的试验、计算、统计、证据采信、报告编制统一在附录B进行规定，附录C提供田间应用效果报告资料性示例，实现正文条款与规范性附录的分工配合。</w:t>
      </w:r>
    </w:p>
    <w:p w14:paraId="1B2B5CD2">
      <w:pPr>
        <w:widowControl/>
        <w:spacing w:line="480" w:lineRule="exact"/>
        <w:ind w:firstLine="422" w:firstLineChars="200"/>
        <w:outlineLvl w:val="0"/>
        <w:rPr>
          <w:b/>
          <w:bCs/>
          <w:szCs w:val="28"/>
        </w:rPr>
      </w:pPr>
      <w:r>
        <w:rPr>
          <w:rFonts w:hint="eastAsia"/>
          <w:b/>
          <w:bCs/>
          <w:szCs w:val="28"/>
        </w:rPr>
        <w:t>三、</w:t>
      </w:r>
      <w:r>
        <w:rPr>
          <w:b/>
          <w:bCs/>
          <w:szCs w:val="28"/>
        </w:rPr>
        <w:t>试验验证的分析、综述报告，技术经济论证，预期的经济效益、社会效益和生态效益</w:t>
      </w:r>
      <w:bookmarkEnd w:id="54"/>
      <w:bookmarkEnd w:id="55"/>
      <w:bookmarkEnd w:id="61"/>
    </w:p>
    <w:p w14:paraId="099A6FEE">
      <w:pPr>
        <w:spacing w:line="480" w:lineRule="exact"/>
        <w:ind w:firstLine="422" w:firstLineChars="200"/>
        <w:outlineLvl w:val="0"/>
        <w:rPr>
          <w:rFonts w:hint="eastAsia" w:eastAsia="宋体"/>
          <w:b/>
          <w:bCs/>
          <w:szCs w:val="28"/>
          <w:lang w:eastAsia="zh-CN"/>
        </w:rPr>
      </w:pPr>
      <w:bookmarkStart w:id="62" w:name="_Toc22834"/>
      <w:bookmarkStart w:id="63" w:name="_Toc31659"/>
      <w:bookmarkStart w:id="64" w:name="_Toc1879"/>
      <w:bookmarkStart w:id="65" w:name="_Toc1110455013"/>
      <w:r>
        <w:rPr>
          <w:rFonts w:hint="eastAsia"/>
          <w:b/>
          <w:bCs/>
          <w:szCs w:val="28"/>
        </w:rPr>
        <w:t>（一）</w:t>
      </w:r>
      <w:r>
        <w:rPr>
          <w:b/>
          <w:bCs/>
          <w:szCs w:val="28"/>
        </w:rPr>
        <w:t>试验验证</w:t>
      </w:r>
      <w:bookmarkEnd w:id="62"/>
      <w:bookmarkEnd w:id="63"/>
      <w:bookmarkEnd w:id="64"/>
      <w:bookmarkEnd w:id="65"/>
      <w:r>
        <w:rPr>
          <w:rFonts w:hint="eastAsia"/>
          <w:b/>
          <w:bCs/>
          <w:szCs w:val="28"/>
          <w:lang w:eastAsia="zh-CN"/>
        </w:rPr>
        <w:t>分析</w:t>
      </w:r>
    </w:p>
    <w:p w14:paraId="417AF80C">
      <w:pPr>
        <w:spacing w:line="480" w:lineRule="exact"/>
        <w:ind w:firstLine="420" w:firstLineChars="200"/>
        <w:outlineLvl w:val="0"/>
        <w:rPr>
          <w:rFonts w:hint="eastAsia"/>
          <w:b w:val="0"/>
          <w:bCs w:val="0"/>
          <w:szCs w:val="28"/>
        </w:rPr>
      </w:pPr>
      <w:bookmarkStart w:id="66" w:name="_Toc18173"/>
      <w:bookmarkStart w:id="67" w:name="_Toc29231"/>
      <w:bookmarkStart w:id="68" w:name="_Toc16828"/>
      <w:bookmarkStart w:id="69" w:name="_Toc668128550"/>
      <w:r>
        <w:rPr>
          <w:rFonts w:hint="eastAsia"/>
          <w:b w:val="0"/>
          <w:bCs w:val="0"/>
          <w:szCs w:val="28"/>
        </w:rPr>
        <w:t>为确保本文件规定的评价指标、试验方法、判定规则科学合理、符合我国肥料行业生产实际与田间应用现状，标准起草组组织开展了资料调研、企业实地调研、指标测算分析以及田间试验验证工作，对标准中生产端评价指标、田间应用效果验证方法开展多维度验证分析。</w:t>
      </w:r>
    </w:p>
    <w:p w14:paraId="528D23B4">
      <w:pPr>
        <w:spacing w:line="480" w:lineRule="exact"/>
        <w:ind w:firstLine="422" w:firstLineChars="200"/>
        <w:outlineLvl w:val="0"/>
        <w:rPr>
          <w:rFonts w:hint="eastAsia"/>
          <w:b w:val="0"/>
          <w:bCs w:val="0"/>
          <w:szCs w:val="28"/>
        </w:rPr>
      </w:pPr>
      <w:r>
        <w:rPr>
          <w:rFonts w:hint="eastAsia"/>
          <w:b/>
          <w:bCs/>
          <w:szCs w:val="28"/>
          <w:lang w:val="en-US" w:eastAsia="zh-CN"/>
        </w:rPr>
        <w:t>1.</w:t>
      </w:r>
      <w:r>
        <w:rPr>
          <w:rFonts w:hint="eastAsia"/>
          <w:b/>
          <w:bCs/>
          <w:szCs w:val="28"/>
        </w:rPr>
        <w:t>生产端指标验证分析</w:t>
      </w:r>
      <w:r>
        <w:rPr>
          <w:rFonts w:hint="eastAsia"/>
          <w:b/>
          <w:bCs/>
          <w:szCs w:val="28"/>
          <w:lang w:eastAsia="zh-CN"/>
        </w:rPr>
        <w:t>。</w:t>
      </w:r>
      <w:r>
        <w:rPr>
          <w:rFonts w:hint="eastAsia"/>
          <w:b w:val="0"/>
          <w:bCs w:val="0"/>
          <w:szCs w:val="28"/>
        </w:rPr>
        <w:t>起草组系统收集尿素、氯化铵、磷铵、复合肥、有机类肥料、水溶肥料等18类适用肥料产品的行业公开统计数据、企业清洁生产报告、能耗核查报告、排污监测报告，选取国内不同区域、不同工艺路线的代表性生产企业开展调研与数据采集，涵盖传统工艺、料浆法、熔体法、挤压法、包裹工艺等主流生产工艺。</w:t>
      </w:r>
      <w:r>
        <w:rPr>
          <w:rFonts w:hint="eastAsia"/>
          <w:b w:val="0"/>
          <w:bCs w:val="0"/>
          <w:szCs w:val="28"/>
          <w:lang w:eastAsia="zh-CN"/>
        </w:rPr>
        <w:t>在</w:t>
      </w:r>
      <w:r>
        <w:rPr>
          <w:rFonts w:hint="eastAsia"/>
          <w:b w:val="0"/>
          <w:bCs w:val="0"/>
          <w:szCs w:val="28"/>
        </w:rPr>
        <w:t>资源属性、能源属性、环境属性</w:t>
      </w:r>
      <w:r>
        <w:rPr>
          <w:rFonts w:hint="eastAsia"/>
          <w:b w:val="0"/>
          <w:bCs w:val="0"/>
          <w:szCs w:val="28"/>
          <w:lang w:eastAsia="zh-CN"/>
        </w:rPr>
        <w:t>指标上，</w:t>
      </w:r>
      <w:r>
        <w:rPr>
          <w:rFonts w:hint="eastAsia"/>
          <w:b w:val="0"/>
          <w:bCs w:val="0"/>
          <w:szCs w:val="28"/>
        </w:rPr>
        <w:t>起草组结合企业实际生产统计数据，测算原材料养分收率、单位产品取水量、废水回用率、综合能耗、废气废水污染物、固废产生量等指标分布区间。在指标限值设置上，绿色产品指标立足于国内行业先进普遍可达水平，兼顾现有环保、能耗相关标准约束；绿色标杆产品指标对标行业头部优秀企业实际运行水平，体现先进性引领作用。针对共线生产、统计周期、数据分摊等实际生产场景，结合企业实操情况明确统计边界与数据处理规则，避免指标在实际评价中出现无法落地执行的问题。品质类指标限值均直接引用现行肥料产品国家标准、行业标准的技术要求，检测方法全部采用现行有效国家、行业标准规定，保证检测结果权威可比。</w:t>
      </w:r>
    </w:p>
    <w:p w14:paraId="68C5A2ED">
      <w:pPr>
        <w:spacing w:line="480" w:lineRule="exact"/>
        <w:ind w:firstLine="422" w:firstLineChars="200"/>
        <w:outlineLvl w:val="0"/>
        <w:rPr>
          <w:rFonts w:hint="eastAsia"/>
          <w:b w:val="0"/>
          <w:bCs w:val="0"/>
          <w:szCs w:val="28"/>
        </w:rPr>
      </w:pPr>
      <w:r>
        <w:rPr>
          <w:rFonts w:hint="eastAsia"/>
          <w:b/>
          <w:bCs/>
          <w:szCs w:val="28"/>
          <w:lang w:val="en-US" w:eastAsia="zh-CN"/>
        </w:rPr>
        <w:t>2.</w:t>
      </w:r>
      <w:r>
        <w:rPr>
          <w:rFonts w:hint="eastAsia"/>
          <w:b/>
          <w:bCs/>
          <w:szCs w:val="28"/>
        </w:rPr>
        <w:t>田间应用效果验证分析</w:t>
      </w:r>
      <w:r>
        <w:rPr>
          <w:rFonts w:hint="eastAsia"/>
          <w:b/>
          <w:bCs/>
          <w:szCs w:val="28"/>
          <w:lang w:eastAsia="zh-CN"/>
        </w:rPr>
        <w:t>。</w:t>
      </w:r>
      <w:r>
        <w:rPr>
          <w:rFonts w:hint="eastAsia"/>
          <w:b w:val="0"/>
          <w:bCs w:val="0"/>
          <w:szCs w:val="28"/>
        </w:rPr>
        <w:t>本文件将田间应用效果作为绿色肥料产品评价的重要组成部分，设置基础产量保持率、养分利用、土壤改良、氮磷损失减排、温室气体减排等田间验证指标。起草组梳理现行肥料田间效果评价、土壤检测、农业面源污染、农田温室气体监测相关国家、农业行业标准，确定以NY/T 2544‑2014《肥料效果试验和评价通用要求》为基础框架，针对生物有机肥、大量元素水溶肥料等特殊肥料，优先采用其专项田间试验标准。在判定规则方面，充分考虑田间试验固有的变异特征，不要求全部试验单元100%达到指标要求，设置有效试验单元达标占比不少于2/3的判定条件，同时要求多单元结果算术平均值满足指标限值，兼顾试验科学性与现实可行性。明确不同指标的计算方式，对分母为零等异常情形作出限制，避免出现逻辑错误。同时区分专项标准认定和田间效果验证两种绿色功能特征认定模式，部分功能指标可直接依据产品专项标准检验结果判定，无需重复开展田间试验，减轻企业评价的试验负担。</w:t>
      </w:r>
    </w:p>
    <w:p w14:paraId="0259F40E">
      <w:pPr>
        <w:spacing w:line="480" w:lineRule="exact"/>
        <w:ind w:firstLine="422" w:firstLineChars="200"/>
        <w:outlineLvl w:val="0"/>
        <w:rPr>
          <w:rFonts w:hint="eastAsia"/>
          <w:b w:val="0"/>
          <w:bCs w:val="0"/>
          <w:szCs w:val="28"/>
        </w:rPr>
      </w:pPr>
      <w:r>
        <w:rPr>
          <w:rFonts w:hint="eastAsia"/>
          <w:b/>
          <w:bCs/>
          <w:szCs w:val="28"/>
        </w:rPr>
        <w:t>3 附录配套方法验证分析</w:t>
      </w:r>
      <w:r>
        <w:rPr>
          <w:rFonts w:hint="eastAsia"/>
          <w:b/>
          <w:bCs/>
          <w:szCs w:val="28"/>
          <w:lang w:eastAsia="zh-CN"/>
        </w:rPr>
        <w:t>。</w:t>
      </w:r>
      <w:r>
        <w:rPr>
          <w:rFonts w:hint="eastAsia"/>
          <w:b w:val="0"/>
          <w:bCs w:val="0"/>
          <w:szCs w:val="28"/>
        </w:rPr>
        <w:t>附录B为规范性附录，规定绿色肥料产品田间应用效果验证的完整技术要求；附录A、附录C为资料性附录，分别给出碳足迹报告、田间应用效果报告的编制示例。起草组结合现有碳足迹、肥料田间试验报告案例，梳理报告必备要素，明确报告最低内容要求。</w:t>
      </w:r>
    </w:p>
    <w:p w14:paraId="5BFD4E2E">
      <w:pPr>
        <w:spacing w:line="480" w:lineRule="exact"/>
        <w:ind w:firstLine="420" w:firstLineChars="200"/>
        <w:outlineLvl w:val="0"/>
        <w:rPr>
          <w:rFonts w:hint="eastAsia"/>
          <w:b w:val="0"/>
          <w:bCs w:val="0"/>
          <w:szCs w:val="28"/>
        </w:rPr>
      </w:pPr>
      <w:r>
        <w:rPr>
          <w:rFonts w:hint="eastAsia"/>
          <w:b w:val="0"/>
          <w:bCs w:val="0"/>
          <w:szCs w:val="28"/>
        </w:rPr>
        <w:t>经多轮数据分析、企业</w:t>
      </w:r>
      <w:r>
        <w:rPr>
          <w:rFonts w:hint="eastAsia"/>
          <w:b w:val="0"/>
          <w:bCs w:val="0"/>
          <w:szCs w:val="28"/>
          <w:lang w:eastAsia="zh-CN"/>
        </w:rPr>
        <w:t>调研</w:t>
      </w:r>
      <w:r>
        <w:rPr>
          <w:rFonts w:hint="eastAsia"/>
          <w:b w:val="0"/>
          <w:bCs w:val="0"/>
          <w:szCs w:val="28"/>
        </w:rPr>
        <w:t>、案例复盘，本文件各项指标限值、计算方法、田间验证规则具备科学性、可操作性，能够满足绿色肥料产品评价工作的实际使用需求。</w:t>
      </w:r>
    </w:p>
    <w:p w14:paraId="2E1D9EA4">
      <w:pPr>
        <w:spacing w:line="480" w:lineRule="exact"/>
        <w:ind w:firstLine="422" w:firstLineChars="200"/>
        <w:outlineLvl w:val="0"/>
        <w:rPr>
          <w:szCs w:val="28"/>
        </w:rPr>
      </w:pPr>
      <w:r>
        <w:rPr>
          <w:rFonts w:hint="eastAsia"/>
          <w:b/>
          <w:bCs/>
          <w:szCs w:val="28"/>
        </w:rPr>
        <w:t>（二）</w:t>
      </w:r>
      <w:bookmarkEnd w:id="56"/>
      <w:r>
        <w:rPr>
          <w:rFonts w:hint="eastAsia"/>
          <w:b/>
          <w:bCs/>
          <w:szCs w:val="28"/>
        </w:rPr>
        <w:t>预期的经济效益、社会效益和生态效益</w:t>
      </w:r>
      <w:bookmarkEnd w:id="57"/>
      <w:bookmarkEnd w:id="58"/>
      <w:bookmarkEnd w:id="59"/>
      <w:bookmarkEnd w:id="66"/>
      <w:bookmarkEnd w:id="67"/>
      <w:bookmarkEnd w:id="68"/>
      <w:bookmarkEnd w:id="69"/>
    </w:p>
    <w:p w14:paraId="40E66708">
      <w:pPr>
        <w:numPr>
          <w:ilvl w:val="255"/>
          <w:numId w:val="0"/>
        </w:numPr>
        <w:spacing w:line="480" w:lineRule="exact"/>
        <w:ind w:firstLine="420" w:firstLineChars="200"/>
        <w:rPr>
          <w:rFonts w:hint="eastAsia" w:cs="仿宋"/>
          <w:szCs w:val="28"/>
          <w:lang w:val="en-US" w:eastAsia="zh-CN"/>
        </w:rPr>
      </w:pPr>
      <w:bookmarkStart w:id="70" w:name="_Toc3327"/>
      <w:bookmarkStart w:id="71" w:name="_Toc28878"/>
      <w:bookmarkStart w:id="72" w:name="_Toc4359"/>
      <w:bookmarkStart w:id="73" w:name="_Toc8707"/>
      <w:bookmarkStart w:id="74" w:name="_Toc11237"/>
      <w:bookmarkStart w:id="75" w:name="_Toc6242"/>
      <w:bookmarkStart w:id="76" w:name="_Toc21388"/>
      <w:bookmarkStart w:id="77" w:name="_Toc320021804"/>
      <w:r>
        <w:rPr>
          <w:rFonts w:hint="eastAsia" w:cs="仿宋"/>
          <w:szCs w:val="28"/>
          <w:lang w:val="en-US" w:eastAsia="zh-CN"/>
        </w:rPr>
        <w:t>经济效益方面，本标准统一了绿色肥料产品评价指标体系，倒逼高耗能低效产能退出，引导企业发展资源化、低碳型肥料产品，助力优质肥料企业提升市场竞争力。减少市场虚假宣传带来的劣币驱逐良币现象，降低企业合规举证成本，为绿色肥料产品市场推广提供统一技术依据，带动绿色肥料产业高质量发展，提升肥料产业整体经济效益。</w:t>
      </w:r>
    </w:p>
    <w:p w14:paraId="5665CC47">
      <w:pPr>
        <w:numPr>
          <w:ilvl w:val="255"/>
          <w:numId w:val="0"/>
        </w:numPr>
        <w:spacing w:line="480" w:lineRule="exact"/>
        <w:ind w:firstLine="420" w:firstLineChars="200"/>
        <w:rPr>
          <w:rFonts w:hint="eastAsia" w:cs="仿宋"/>
          <w:szCs w:val="28"/>
          <w:lang w:val="en-US" w:eastAsia="zh-CN"/>
        </w:rPr>
      </w:pPr>
      <w:r>
        <w:rPr>
          <w:rFonts w:hint="eastAsia" w:cs="仿宋"/>
          <w:szCs w:val="28"/>
          <w:lang w:val="en-US" w:eastAsia="zh-CN"/>
        </w:rPr>
        <w:t>社会效益方面，规范绿色肥料市场宣传与追溯管理，解决“绿色肥料”概念泛化、功效不实等行业痛点，保护农民及合规企业合法权益。为行业协会、第三方机构、农技部门开展产品筛选、示范推广提供评判依据，助力农户科学选肥用肥，支撑农业社会化服务开展，服务国家粮食安全与农业绿色发展大局。</w:t>
      </w:r>
    </w:p>
    <w:p w14:paraId="62DD1945">
      <w:pPr>
        <w:numPr>
          <w:ilvl w:val="255"/>
          <w:numId w:val="0"/>
        </w:numPr>
        <w:spacing w:line="480" w:lineRule="exact"/>
        <w:ind w:firstLine="420" w:firstLineChars="200"/>
        <w:rPr>
          <w:rFonts w:hint="default" w:cs="仿宋"/>
          <w:szCs w:val="28"/>
          <w:lang w:val="en-US" w:eastAsia="zh-CN"/>
        </w:rPr>
      </w:pPr>
      <w:r>
        <w:rPr>
          <w:rFonts w:hint="eastAsia" w:cs="仿宋"/>
          <w:szCs w:val="28"/>
          <w:lang w:val="en-US" w:eastAsia="zh-CN"/>
        </w:rPr>
        <w:t>生态效益方面，构建覆盖“生产—施用—效果”全链条评价体系，强化田间应用、农田减排与碳足迹评价，引导肥料减量增效。助力降低农田面源污染，减少养分流失，改善土壤板结、酸化等问题，提升耕地地力，推动农业降碳减污，助力农业领域碳达峰碳中和，维护农田生态环境。</w:t>
      </w:r>
    </w:p>
    <w:p w14:paraId="6690D292">
      <w:pPr>
        <w:widowControl/>
        <w:spacing w:line="480" w:lineRule="exact"/>
        <w:ind w:firstLine="422" w:firstLineChars="200"/>
        <w:outlineLvl w:val="0"/>
        <w:rPr>
          <w:b/>
          <w:bCs/>
          <w:szCs w:val="28"/>
        </w:rPr>
      </w:pPr>
      <w:bookmarkStart w:id="78" w:name="_Toc5545"/>
      <w:bookmarkStart w:id="79" w:name="_Toc4252"/>
      <w:bookmarkStart w:id="80" w:name="_Toc1240362773"/>
      <w:r>
        <w:rPr>
          <w:rFonts w:hint="eastAsia"/>
          <w:b/>
          <w:bCs/>
          <w:szCs w:val="28"/>
        </w:rPr>
        <w:t>四、与国际、国外同类标准技术内容的对比情况</w:t>
      </w:r>
      <w:bookmarkEnd w:id="78"/>
      <w:bookmarkEnd w:id="79"/>
      <w:bookmarkEnd w:id="80"/>
    </w:p>
    <w:p w14:paraId="45F45573">
      <w:pPr>
        <w:numPr>
          <w:ilvl w:val="255"/>
          <w:numId w:val="0"/>
        </w:numPr>
        <w:spacing w:line="480" w:lineRule="exact"/>
        <w:ind w:firstLine="420" w:firstLineChars="200"/>
        <w:rPr>
          <w:rFonts w:cs="仿宋"/>
          <w:szCs w:val="28"/>
        </w:rPr>
      </w:pPr>
      <w:r>
        <w:rPr>
          <w:rFonts w:hint="eastAsia" w:cs="仿宋"/>
          <w:szCs w:val="28"/>
        </w:rPr>
        <w:t>本标准不涉及与国外标准技术内容的对比，也不涉及对现有国际标准和国外先进标准的采用。</w:t>
      </w:r>
    </w:p>
    <w:p w14:paraId="08885D24">
      <w:pPr>
        <w:widowControl/>
        <w:spacing w:line="480" w:lineRule="exact"/>
        <w:ind w:firstLine="422" w:firstLineChars="200"/>
        <w:outlineLvl w:val="0"/>
        <w:rPr>
          <w:b/>
          <w:bCs/>
          <w:szCs w:val="28"/>
        </w:rPr>
      </w:pPr>
      <w:bookmarkStart w:id="81" w:name="_Toc2145645297"/>
      <w:bookmarkStart w:id="82" w:name="_Toc16428"/>
      <w:bookmarkStart w:id="83" w:name="_Toc16364"/>
      <w:r>
        <w:rPr>
          <w:rFonts w:hint="eastAsia"/>
          <w:b/>
          <w:bCs/>
          <w:szCs w:val="28"/>
        </w:rPr>
        <w:t>五、以国际标准为基础的起草情况，以及是否合规引用或者采用国际国外标准，并说明未采用国际标准的原因</w:t>
      </w:r>
      <w:bookmarkEnd w:id="81"/>
      <w:bookmarkEnd w:id="82"/>
    </w:p>
    <w:p w14:paraId="66242D66">
      <w:pPr>
        <w:widowControl/>
        <w:autoSpaceDE w:val="0"/>
        <w:autoSpaceDN w:val="0"/>
        <w:adjustRightInd w:val="0"/>
        <w:spacing w:line="480" w:lineRule="exact"/>
        <w:ind w:firstLine="420" w:firstLineChars="200"/>
        <w:jc w:val="left"/>
        <w:rPr>
          <w:rFonts w:cs="仿宋"/>
          <w:szCs w:val="28"/>
        </w:rPr>
      </w:pPr>
      <w:r>
        <w:rPr>
          <w:rFonts w:hint="eastAsia" w:cs="仿宋"/>
          <w:szCs w:val="28"/>
        </w:rPr>
        <w:t>本标准未以国际标准为基础起草，也未</w:t>
      </w:r>
      <w:r>
        <w:rPr>
          <w:rFonts w:hint="eastAsia"/>
          <w:szCs w:val="28"/>
        </w:rPr>
        <w:t>引用或者采用国际国外标准</w:t>
      </w:r>
      <w:r>
        <w:rPr>
          <w:rFonts w:hint="eastAsia" w:cs="仿宋"/>
          <w:szCs w:val="28"/>
        </w:rPr>
        <w:t>，主要原因是我国具有大国小农突出特色，与西方发达国家国情较为不同。</w:t>
      </w:r>
    </w:p>
    <w:p w14:paraId="51640FAB">
      <w:pPr>
        <w:widowControl/>
        <w:spacing w:line="480" w:lineRule="exact"/>
        <w:ind w:firstLine="422" w:firstLineChars="200"/>
        <w:outlineLvl w:val="0"/>
        <w:rPr>
          <w:b/>
          <w:bCs/>
          <w:szCs w:val="28"/>
        </w:rPr>
      </w:pPr>
      <w:bookmarkStart w:id="84" w:name="_Toc17343"/>
      <w:bookmarkStart w:id="85" w:name="_Toc150905302"/>
      <w:r>
        <w:rPr>
          <w:rFonts w:hint="eastAsia"/>
          <w:b/>
          <w:bCs/>
          <w:szCs w:val="28"/>
        </w:rPr>
        <w:t>六、与有关法律、行政法规及相关标准的关系</w:t>
      </w:r>
      <w:bookmarkEnd w:id="83"/>
      <w:bookmarkEnd w:id="84"/>
      <w:bookmarkEnd w:id="85"/>
    </w:p>
    <w:p w14:paraId="2EE2C56D">
      <w:pPr>
        <w:spacing w:line="480" w:lineRule="exact"/>
        <w:ind w:firstLine="420" w:firstLineChars="200"/>
        <w:rPr>
          <w:rFonts w:cs="仿宋"/>
          <w:szCs w:val="28"/>
        </w:rPr>
      </w:pPr>
      <w:r>
        <w:rPr>
          <w:rFonts w:hint="eastAsia" w:cs="仿宋"/>
          <w:szCs w:val="28"/>
        </w:rPr>
        <w:t>本标准的编制符合相关国家法律法规的规定和强制性标准的要求。</w:t>
      </w:r>
    </w:p>
    <w:bookmarkEnd w:id="70"/>
    <w:bookmarkEnd w:id="71"/>
    <w:bookmarkEnd w:id="72"/>
    <w:bookmarkEnd w:id="73"/>
    <w:bookmarkEnd w:id="74"/>
    <w:bookmarkEnd w:id="75"/>
    <w:bookmarkEnd w:id="76"/>
    <w:p w14:paraId="06253D8A">
      <w:pPr>
        <w:widowControl/>
        <w:spacing w:line="480" w:lineRule="exact"/>
        <w:ind w:firstLine="422" w:firstLineChars="200"/>
        <w:outlineLvl w:val="0"/>
        <w:rPr>
          <w:b/>
          <w:bCs/>
          <w:szCs w:val="28"/>
        </w:rPr>
      </w:pPr>
      <w:bookmarkStart w:id="86" w:name="_Toc14115"/>
      <w:bookmarkStart w:id="87" w:name="_Toc1069987693"/>
      <w:bookmarkStart w:id="88" w:name="_Toc1137"/>
      <w:bookmarkStart w:id="89" w:name="_Toc20384"/>
      <w:bookmarkStart w:id="90" w:name="_Toc23407"/>
      <w:bookmarkStart w:id="91" w:name="_Toc18187"/>
      <w:bookmarkStart w:id="92" w:name="_Toc4102"/>
      <w:bookmarkStart w:id="93" w:name="_Toc29680"/>
      <w:bookmarkStart w:id="94" w:name="_Toc25722"/>
      <w:bookmarkStart w:id="95" w:name="_Toc4635"/>
      <w:bookmarkStart w:id="96" w:name="_Toc30005"/>
      <w:bookmarkStart w:id="97" w:name="_Toc20883"/>
      <w:bookmarkStart w:id="98" w:name="_Toc23333"/>
      <w:bookmarkStart w:id="99" w:name="_Toc24853"/>
      <w:r>
        <w:rPr>
          <w:rFonts w:hint="eastAsia"/>
          <w:b/>
          <w:bCs/>
          <w:szCs w:val="28"/>
        </w:rPr>
        <w:t>七、重大分歧意见的处理经过和依据</w:t>
      </w:r>
      <w:bookmarkEnd w:id="86"/>
      <w:bookmarkEnd w:id="87"/>
      <w:bookmarkEnd w:id="88"/>
    </w:p>
    <w:bookmarkEnd w:id="89"/>
    <w:bookmarkEnd w:id="90"/>
    <w:bookmarkEnd w:id="91"/>
    <w:bookmarkEnd w:id="92"/>
    <w:bookmarkEnd w:id="93"/>
    <w:bookmarkEnd w:id="94"/>
    <w:bookmarkEnd w:id="95"/>
    <w:p w14:paraId="3F0DFE53">
      <w:pPr>
        <w:pStyle w:val="28"/>
        <w:tabs>
          <w:tab w:val="center" w:pos="4201"/>
          <w:tab w:val="right" w:leader="dot" w:pos="9298"/>
        </w:tabs>
        <w:spacing w:line="480" w:lineRule="exact"/>
        <w:ind w:firstLine="420"/>
        <w:rPr>
          <w:rFonts w:ascii="Times New Roman" w:cs="仿宋"/>
          <w:szCs w:val="28"/>
        </w:rPr>
      </w:pPr>
      <w:r>
        <w:rPr>
          <w:rFonts w:hint="eastAsia" w:ascii="Times New Roman" w:cs="仿宋"/>
          <w:szCs w:val="28"/>
        </w:rPr>
        <w:t>本标准在制定过程中未出现重大分歧意见。</w:t>
      </w:r>
    </w:p>
    <w:p w14:paraId="47A1C876">
      <w:pPr>
        <w:widowControl/>
        <w:spacing w:line="480" w:lineRule="exact"/>
        <w:ind w:firstLine="422" w:firstLineChars="200"/>
        <w:outlineLvl w:val="0"/>
        <w:rPr>
          <w:b/>
          <w:bCs/>
          <w:szCs w:val="28"/>
        </w:rPr>
      </w:pPr>
      <w:bookmarkStart w:id="100" w:name="_Toc32753"/>
      <w:bookmarkStart w:id="101" w:name="_Toc3148"/>
      <w:bookmarkStart w:id="102" w:name="_Toc753576829"/>
      <w:bookmarkStart w:id="103" w:name="_Toc1094"/>
      <w:bookmarkStart w:id="104" w:name="_Toc330"/>
      <w:bookmarkStart w:id="105" w:name="_Toc3259"/>
      <w:r>
        <w:rPr>
          <w:rFonts w:hint="eastAsia"/>
          <w:b/>
          <w:bCs/>
          <w:szCs w:val="28"/>
        </w:rPr>
        <w:t>八、涉及专利的有关说明</w:t>
      </w:r>
      <w:bookmarkEnd w:id="100"/>
      <w:bookmarkEnd w:id="101"/>
      <w:bookmarkEnd w:id="102"/>
    </w:p>
    <w:bookmarkEnd w:id="103"/>
    <w:bookmarkEnd w:id="104"/>
    <w:p w14:paraId="40C5627E">
      <w:pPr>
        <w:tabs>
          <w:tab w:val="center" w:pos="4201"/>
          <w:tab w:val="right" w:leader="dot" w:pos="9298"/>
        </w:tabs>
        <w:spacing w:line="480" w:lineRule="exact"/>
        <w:ind w:firstLine="420" w:firstLineChars="200"/>
        <w:outlineLvl w:val="0"/>
        <w:rPr>
          <w:rFonts w:cs="仿宋"/>
          <w:szCs w:val="28"/>
        </w:rPr>
      </w:pPr>
      <w:bookmarkStart w:id="106" w:name="_Toc25127"/>
      <w:bookmarkStart w:id="107" w:name="_Toc16835"/>
      <w:bookmarkStart w:id="108" w:name="_Toc12530"/>
      <w:bookmarkStart w:id="109" w:name="_Toc1490811018"/>
      <w:r>
        <w:rPr>
          <w:rFonts w:hint="eastAsia" w:cs="仿宋"/>
          <w:szCs w:val="28"/>
        </w:rPr>
        <w:t>本标准的某些内容可能涉及专利，</w:t>
      </w:r>
      <w:r>
        <w:rPr>
          <w:rFonts w:hint="eastAsia" w:cs="仿宋"/>
          <w:szCs w:val="28"/>
          <w:lang w:eastAsia="zh-CN"/>
        </w:rPr>
        <w:t>标准</w:t>
      </w:r>
      <w:r>
        <w:rPr>
          <w:rFonts w:hint="eastAsia" w:cs="仿宋"/>
          <w:szCs w:val="28"/>
        </w:rPr>
        <w:t>的发布机构不承担识别专利的责任。</w:t>
      </w:r>
      <w:bookmarkEnd w:id="106"/>
      <w:bookmarkEnd w:id="107"/>
      <w:bookmarkEnd w:id="108"/>
      <w:bookmarkEnd w:id="109"/>
    </w:p>
    <w:bookmarkEnd w:id="96"/>
    <w:bookmarkEnd w:id="97"/>
    <w:bookmarkEnd w:id="98"/>
    <w:bookmarkEnd w:id="99"/>
    <w:bookmarkEnd w:id="105"/>
    <w:p w14:paraId="6D955BDA">
      <w:pPr>
        <w:spacing w:line="480" w:lineRule="exact"/>
        <w:ind w:firstLine="422" w:firstLineChars="200"/>
        <w:outlineLvl w:val="0"/>
        <w:rPr>
          <w:b/>
          <w:bCs/>
          <w:szCs w:val="28"/>
        </w:rPr>
      </w:pPr>
      <w:bookmarkStart w:id="110" w:name="_Toc959940470"/>
      <w:bookmarkStart w:id="111" w:name="_Toc13094"/>
      <w:bookmarkStart w:id="112" w:name="_Toc30561"/>
      <w:bookmarkStart w:id="113" w:name="_Toc31155"/>
      <w:bookmarkStart w:id="114" w:name="_Toc7999"/>
      <w:bookmarkStart w:id="115" w:name="_Toc2646"/>
      <w:r>
        <w:rPr>
          <w:rFonts w:hint="eastAsia"/>
          <w:b/>
          <w:bCs/>
          <w:szCs w:val="28"/>
        </w:rPr>
        <w:t>九、实施标准的要求，以及组织措施、技术措施、过渡期和实施日期的建议等措施建议</w:t>
      </w:r>
      <w:bookmarkEnd w:id="110"/>
      <w:bookmarkEnd w:id="111"/>
      <w:bookmarkEnd w:id="112"/>
      <w:bookmarkEnd w:id="113"/>
      <w:bookmarkEnd w:id="114"/>
      <w:bookmarkEnd w:id="115"/>
    </w:p>
    <w:p w14:paraId="4D8ADA39">
      <w:pPr>
        <w:spacing w:line="480" w:lineRule="exact"/>
        <w:ind w:firstLine="420" w:firstLineChars="200"/>
        <w:rPr>
          <w:rFonts w:cs="仿宋"/>
          <w:szCs w:val="28"/>
        </w:rPr>
      </w:pPr>
      <w:r>
        <w:rPr>
          <w:rFonts w:hint="eastAsia" w:cs="仿宋"/>
          <w:szCs w:val="28"/>
        </w:rPr>
        <w:t>本标准发布后，建议立即实施并做好标准的宣贯与培训工作，及时向农资行业相关企业进行宣传推广，促进标准的落地实施</w:t>
      </w:r>
      <w:r>
        <w:rPr>
          <w:rFonts w:cs="仿宋"/>
          <w:szCs w:val="28"/>
        </w:rPr>
        <w:t>。</w:t>
      </w:r>
    </w:p>
    <w:p w14:paraId="384D80C3">
      <w:pPr>
        <w:spacing w:line="480" w:lineRule="exact"/>
        <w:ind w:firstLine="422" w:firstLineChars="200"/>
        <w:outlineLvl w:val="0"/>
        <w:rPr>
          <w:b/>
          <w:bCs/>
          <w:szCs w:val="28"/>
        </w:rPr>
      </w:pPr>
      <w:bookmarkStart w:id="116" w:name="_Toc9050"/>
      <w:bookmarkStart w:id="117" w:name="_Toc3062"/>
      <w:bookmarkStart w:id="118" w:name="_Toc20920"/>
      <w:bookmarkStart w:id="119" w:name="_Toc12012"/>
      <w:bookmarkStart w:id="120" w:name="_Toc14520"/>
      <w:bookmarkStart w:id="121" w:name="_Toc24527"/>
      <w:bookmarkStart w:id="122" w:name="_Toc1533"/>
      <w:bookmarkStart w:id="123" w:name="_Toc623304143"/>
      <w:bookmarkStart w:id="124" w:name="_Toc1117"/>
      <w:bookmarkStart w:id="125" w:name="_Toc13927"/>
      <w:bookmarkStart w:id="126" w:name="_Toc5606"/>
      <w:bookmarkStart w:id="127" w:name="_Toc24899"/>
      <w:r>
        <w:rPr>
          <w:rFonts w:hint="eastAsia"/>
          <w:b/>
          <w:bCs/>
          <w:szCs w:val="28"/>
        </w:rPr>
        <w:t>十、其他应当说明的事项</w:t>
      </w:r>
      <w:bookmarkEnd w:id="116"/>
      <w:bookmarkEnd w:id="117"/>
      <w:bookmarkEnd w:id="118"/>
      <w:bookmarkEnd w:id="119"/>
      <w:bookmarkEnd w:id="120"/>
      <w:bookmarkEnd w:id="121"/>
      <w:bookmarkEnd w:id="122"/>
      <w:bookmarkEnd w:id="123"/>
      <w:bookmarkEnd w:id="124"/>
    </w:p>
    <w:bookmarkEnd w:id="125"/>
    <w:bookmarkEnd w:id="126"/>
    <w:bookmarkEnd w:id="127"/>
    <w:p w14:paraId="2AC84BAD">
      <w:pPr>
        <w:spacing w:line="480" w:lineRule="exact"/>
        <w:ind w:firstLine="420" w:firstLineChars="200"/>
        <w:rPr>
          <w:rFonts w:cs="仿宋"/>
          <w:szCs w:val="28"/>
        </w:rPr>
      </w:pPr>
      <w:r>
        <w:rPr>
          <w:rFonts w:hint="eastAsia" w:cs="仿宋"/>
          <w:szCs w:val="28"/>
        </w:rPr>
        <w:t>无。</w:t>
      </w:r>
    </w:p>
    <w:p w14:paraId="4BC51EAD">
      <w:pPr>
        <w:spacing w:line="480" w:lineRule="exact"/>
        <w:ind w:firstLine="380" w:firstLineChars="200"/>
        <w:jc w:val="left"/>
        <w:rPr>
          <w:rStyle w:val="18"/>
          <w:rFonts w:ascii="Arial" w:hAnsi="Arial" w:cs="Arial"/>
          <w:color w:val="F73131"/>
          <w:sz w:val="19"/>
          <w:szCs w:val="19"/>
          <w:shd w:val="clear" w:color="auto" w:fill="FFFFFF"/>
        </w:rPr>
      </w:pPr>
    </w:p>
    <w:bookmarkEnd w:id="77"/>
    <w:p w14:paraId="6726C409">
      <w:pPr>
        <w:autoSpaceDE w:val="0"/>
        <w:autoSpaceDN w:val="0"/>
        <w:adjustRightInd w:val="0"/>
        <w:spacing w:line="480" w:lineRule="exact"/>
        <w:ind w:firstLine="420" w:firstLineChars="200"/>
        <w:jc w:val="right"/>
        <w:rPr>
          <w:rFonts w:cs="仿宋"/>
          <w:szCs w:val="28"/>
        </w:rPr>
      </w:pPr>
      <w:r>
        <w:rPr>
          <w:rFonts w:hint="eastAsia" w:ascii="仿宋_GB2312" w:eastAsia="仿宋_GB2312"/>
        </w:rPr>
        <w:t xml:space="preserve">                            </w:t>
      </w:r>
      <w:r>
        <w:rPr>
          <w:rFonts w:hint="eastAsia" w:cs="仿宋"/>
          <w:szCs w:val="28"/>
        </w:rPr>
        <w:t>《</w:t>
      </w:r>
      <w:r>
        <w:rPr>
          <w:rFonts w:hint="eastAsia" w:cs="仿宋"/>
          <w:szCs w:val="28"/>
          <w:lang w:eastAsia="zh-CN"/>
        </w:rPr>
        <w:t>绿色肥料产品评价</w:t>
      </w:r>
      <w:r>
        <w:rPr>
          <w:rFonts w:hint="eastAsia" w:cs="仿宋"/>
          <w:szCs w:val="28"/>
        </w:rPr>
        <w:t>规范》编制组</w:t>
      </w:r>
    </w:p>
    <w:p w14:paraId="1B160C41">
      <w:pPr>
        <w:wordWrap w:val="0"/>
        <w:autoSpaceDE w:val="0"/>
        <w:autoSpaceDN w:val="0"/>
        <w:adjustRightInd w:val="0"/>
        <w:spacing w:line="480" w:lineRule="exact"/>
        <w:ind w:firstLine="420" w:firstLineChars="200"/>
        <w:jc w:val="right"/>
        <w:rPr>
          <w:rFonts w:hint="default" w:eastAsia="宋体" w:cs="仿宋"/>
          <w:szCs w:val="28"/>
          <w:lang w:val="en-US" w:eastAsia="zh-CN"/>
        </w:rPr>
      </w:pPr>
      <w:r>
        <w:rPr>
          <w:rFonts w:hint="eastAsia" w:cs="仿宋"/>
          <w:szCs w:val="28"/>
        </w:rPr>
        <w:t>2026年</w:t>
      </w:r>
      <w:r>
        <w:rPr>
          <w:rFonts w:hint="eastAsia" w:cs="仿宋"/>
          <w:szCs w:val="28"/>
          <w:highlight w:val="none"/>
          <w:lang w:val="en-US" w:eastAsia="zh-CN"/>
        </w:rPr>
        <w:t>8</w:t>
      </w:r>
      <w:r>
        <w:rPr>
          <w:rFonts w:hint="eastAsia" w:cs="仿宋"/>
          <w:szCs w:val="28"/>
        </w:rPr>
        <w:t>月</w:t>
      </w:r>
    </w:p>
    <w:sectPr>
      <w:pgSz w:w="11906" w:h="16838"/>
      <w:pgMar w:top="1134" w:right="1287" w:bottom="1134"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FD81E">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4</w:t>
    </w:r>
    <w:r>
      <w:fldChar w:fldCharType="end"/>
    </w:r>
  </w:p>
  <w:p w14:paraId="4B46EC1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2695">
    <w:pPr>
      <w:pStyle w:val="9"/>
      <w:framePr w:wrap="around" w:vAnchor="text" w:hAnchor="margin" w:xAlign="center" w:y="1"/>
      <w:rPr>
        <w:rStyle w:val="17"/>
      </w:rPr>
    </w:pPr>
    <w:r>
      <w:fldChar w:fldCharType="begin"/>
    </w:r>
    <w:r>
      <w:rPr>
        <w:rStyle w:val="17"/>
      </w:rPr>
      <w:instrText xml:space="preserve">PAGE  </w:instrText>
    </w:r>
    <w:r>
      <w:fldChar w:fldCharType="end"/>
    </w:r>
  </w:p>
  <w:p w14:paraId="151D3980">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418B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9E0C">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51F7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8A32">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B8265E"/>
    <w:multiLevelType w:val="multilevel"/>
    <w:tmpl w:val="2DB8265E"/>
    <w:lvl w:ilvl="0" w:tentative="0">
      <w:start w:val="1"/>
      <w:numFmt w:val="decimal"/>
      <w:pStyle w:val="2"/>
      <w:lvlText w:val="%1"/>
      <w:lvlJc w:val="left"/>
      <w:pPr>
        <w:tabs>
          <w:tab w:val="left" w:pos="425"/>
        </w:tabs>
        <w:ind w:left="425" w:hanging="425"/>
      </w:pPr>
      <w:rPr>
        <w:rFonts w:hint="eastAsia" w:ascii="黑体" w:hAnsi="黑体" w:eastAsia="黑体"/>
      </w:rPr>
    </w:lvl>
    <w:lvl w:ilvl="1" w:tentative="0">
      <w:start w:val="1"/>
      <w:numFmt w:val="decimal"/>
      <w:lvlText w:val="%1.%2"/>
      <w:lvlJc w:val="left"/>
      <w:pPr>
        <w:tabs>
          <w:tab w:val="left" w:pos="567"/>
        </w:tabs>
        <w:ind w:left="567" w:hanging="567"/>
      </w:pPr>
      <w:rPr>
        <w:rFonts w:hint="eastAsia" w:ascii="黑体" w:hAnsi="黑体" w:eastAsia="黑体"/>
        <w:sz w:val="24"/>
        <w:szCs w:val="24"/>
      </w:rPr>
    </w:lvl>
    <w:lvl w:ilvl="2" w:tentative="0">
      <w:start w:val="1"/>
      <w:numFmt w:val="decimal"/>
      <w:lvlText w:val="%1.%2.%3"/>
      <w:lvlJc w:val="left"/>
      <w:pPr>
        <w:tabs>
          <w:tab w:val="left" w:pos="709"/>
        </w:tabs>
        <w:ind w:left="709" w:hanging="709"/>
      </w:pPr>
      <w:rPr>
        <w:rFonts w:hint="eastAsia" w:ascii="黑体" w:hAnsi="黑体" w:eastAsia="黑体"/>
      </w:rPr>
    </w:lvl>
    <w:lvl w:ilvl="3" w:tentative="0">
      <w:start w:val="1"/>
      <w:numFmt w:val="decimal"/>
      <w:suff w:val="nothing"/>
      <w:lvlText w:val="（%4）"/>
      <w:lvlJc w:val="left"/>
      <w:pPr>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YWFlNDlhN2Q2YmU4MzFlYWQ1NzY3NmYxYjU1YjAifQ=="/>
  </w:docVars>
  <w:rsids>
    <w:rsidRoot w:val="00002201"/>
    <w:rsid w:val="00002201"/>
    <w:rsid w:val="00051155"/>
    <w:rsid w:val="000D6033"/>
    <w:rsid w:val="000E589E"/>
    <w:rsid w:val="0011522A"/>
    <w:rsid w:val="00136063"/>
    <w:rsid w:val="00180A99"/>
    <w:rsid w:val="00181BCB"/>
    <w:rsid w:val="00184984"/>
    <w:rsid w:val="0018770E"/>
    <w:rsid w:val="001A7001"/>
    <w:rsid w:val="001D4926"/>
    <w:rsid w:val="002A1C34"/>
    <w:rsid w:val="002F36B0"/>
    <w:rsid w:val="00306A1E"/>
    <w:rsid w:val="003A7FF0"/>
    <w:rsid w:val="00400F2E"/>
    <w:rsid w:val="004406C0"/>
    <w:rsid w:val="0048761F"/>
    <w:rsid w:val="004A5F40"/>
    <w:rsid w:val="005619E3"/>
    <w:rsid w:val="005C4477"/>
    <w:rsid w:val="005E3E94"/>
    <w:rsid w:val="00630C68"/>
    <w:rsid w:val="00671599"/>
    <w:rsid w:val="006E208A"/>
    <w:rsid w:val="006E328F"/>
    <w:rsid w:val="00721294"/>
    <w:rsid w:val="00761B90"/>
    <w:rsid w:val="007D6C36"/>
    <w:rsid w:val="00847434"/>
    <w:rsid w:val="008A5679"/>
    <w:rsid w:val="008D5D92"/>
    <w:rsid w:val="00905F31"/>
    <w:rsid w:val="00923C44"/>
    <w:rsid w:val="00947202"/>
    <w:rsid w:val="00A06DF8"/>
    <w:rsid w:val="00A44760"/>
    <w:rsid w:val="00B267D6"/>
    <w:rsid w:val="00B67603"/>
    <w:rsid w:val="00B7058D"/>
    <w:rsid w:val="00BB109F"/>
    <w:rsid w:val="00BE746C"/>
    <w:rsid w:val="00C9326E"/>
    <w:rsid w:val="00D16B65"/>
    <w:rsid w:val="00D24076"/>
    <w:rsid w:val="00DC2E5C"/>
    <w:rsid w:val="00DC3188"/>
    <w:rsid w:val="00DD6D19"/>
    <w:rsid w:val="00E05816"/>
    <w:rsid w:val="00E73BE4"/>
    <w:rsid w:val="00F72613"/>
    <w:rsid w:val="04D33EA3"/>
    <w:rsid w:val="0722121F"/>
    <w:rsid w:val="07FE0D6D"/>
    <w:rsid w:val="0E975558"/>
    <w:rsid w:val="121641AC"/>
    <w:rsid w:val="149D3DDF"/>
    <w:rsid w:val="1AFD5359"/>
    <w:rsid w:val="1E4E315B"/>
    <w:rsid w:val="237D12F0"/>
    <w:rsid w:val="25215CA5"/>
    <w:rsid w:val="27525CCF"/>
    <w:rsid w:val="29314332"/>
    <w:rsid w:val="29E04FA9"/>
    <w:rsid w:val="2B4955B2"/>
    <w:rsid w:val="2BEF59E8"/>
    <w:rsid w:val="2DCD6E25"/>
    <w:rsid w:val="2F7708A3"/>
    <w:rsid w:val="38BD6613"/>
    <w:rsid w:val="38F06BD9"/>
    <w:rsid w:val="3B38791B"/>
    <w:rsid w:val="4E916424"/>
    <w:rsid w:val="4FF01B05"/>
    <w:rsid w:val="51D636B3"/>
    <w:rsid w:val="575925A3"/>
    <w:rsid w:val="5ADB62E4"/>
    <w:rsid w:val="5DF560E9"/>
    <w:rsid w:val="5F8D24F9"/>
    <w:rsid w:val="5FCAEFD7"/>
    <w:rsid w:val="5FFD0815"/>
    <w:rsid w:val="681E2B78"/>
    <w:rsid w:val="68BB78B7"/>
    <w:rsid w:val="69147CE3"/>
    <w:rsid w:val="6C6A0780"/>
    <w:rsid w:val="6E320CFC"/>
    <w:rsid w:val="6E5042A8"/>
    <w:rsid w:val="6E516E3C"/>
    <w:rsid w:val="6F0F1490"/>
    <w:rsid w:val="7122388E"/>
    <w:rsid w:val="750A6D84"/>
    <w:rsid w:val="76F4797E"/>
    <w:rsid w:val="788A02E9"/>
    <w:rsid w:val="7A701496"/>
    <w:rsid w:val="7CFF37B2"/>
    <w:rsid w:val="7E7E91CA"/>
    <w:rsid w:val="7FFDB7A4"/>
    <w:rsid w:val="BDF7B056"/>
    <w:rsid w:val="DF2FB699"/>
    <w:rsid w:val="EEFF3C6B"/>
    <w:rsid w:val="FF73A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link w:val="21"/>
    <w:qFormat/>
    <w:uiPriority w:val="0"/>
    <w:pPr>
      <w:keepLines/>
      <w:numPr>
        <w:ilvl w:val="0"/>
        <w:numId w:val="1"/>
      </w:numPr>
      <w:spacing w:before="60" w:after="60"/>
      <w:outlineLvl w:val="0"/>
    </w:pPr>
    <w:rPr>
      <w:rFonts w:eastAsia="黑体"/>
      <w:bCs/>
      <w:kern w:val="44"/>
      <w:sz w:val="28"/>
      <w:szCs w:val="44"/>
    </w:rPr>
  </w:style>
  <w:style w:type="paragraph" w:styleId="4">
    <w:name w:val="heading 2"/>
    <w:basedOn w:val="1"/>
    <w:next w:val="1"/>
    <w:link w:val="2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3"/>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6">
    <w:name w:val="annotation text"/>
    <w:basedOn w:val="1"/>
    <w:link w:val="24"/>
    <w:qFormat/>
    <w:uiPriority w:val="0"/>
    <w:pPr>
      <w:jc w:val="left"/>
    </w:pPr>
  </w:style>
  <w:style w:type="paragraph" w:styleId="7">
    <w:name w:val="Plain Text"/>
    <w:basedOn w:val="1"/>
    <w:qFormat/>
    <w:uiPriority w:val="0"/>
    <w:rPr>
      <w:rFonts w:ascii="宋体" w:hAnsi="Courier New" w:cs="Courier New"/>
      <w:szCs w:val="21"/>
    </w:r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paragraph" w:styleId="12">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6"/>
    <w:next w:val="6"/>
    <w:link w:val="26"/>
    <w:qFormat/>
    <w:uiPriority w:val="0"/>
    <w:rPr>
      <w:b/>
      <w:bCs/>
      <w:kern w:val="0"/>
      <w:sz w:val="20"/>
      <w:szCs w:val="20"/>
    </w:rPr>
  </w:style>
  <w:style w:type="character" w:styleId="16">
    <w:name w:val="Strong"/>
    <w:qFormat/>
    <w:uiPriority w:val="0"/>
    <w:rPr>
      <w:b/>
      <w:bCs/>
    </w:rPr>
  </w:style>
  <w:style w:type="character" w:styleId="17">
    <w:name w:val="page number"/>
    <w:qFormat/>
    <w:uiPriority w:val="0"/>
  </w:style>
  <w:style w:type="character" w:styleId="18">
    <w:name w:val="Emphasis"/>
    <w:basedOn w:val="15"/>
    <w:qFormat/>
    <w:uiPriority w:val="0"/>
    <w:rPr>
      <w:i/>
    </w:rPr>
  </w:style>
  <w:style w:type="character" w:styleId="19">
    <w:name w:val="Hyperlink"/>
    <w:qFormat/>
    <w:uiPriority w:val="0"/>
    <w:rPr>
      <w:color w:val="0000FF"/>
      <w:u w:val="single"/>
    </w:rPr>
  </w:style>
  <w:style w:type="character" w:styleId="20">
    <w:name w:val="annotation reference"/>
    <w:qFormat/>
    <w:uiPriority w:val="0"/>
    <w:rPr>
      <w:sz w:val="21"/>
      <w:szCs w:val="21"/>
    </w:rPr>
  </w:style>
  <w:style w:type="character" w:customStyle="1" w:styleId="21">
    <w:name w:val="标题 1 字符"/>
    <w:link w:val="2"/>
    <w:qFormat/>
    <w:uiPriority w:val="0"/>
    <w:rPr>
      <w:rFonts w:eastAsia="黑体"/>
      <w:bCs/>
      <w:kern w:val="44"/>
      <w:sz w:val="28"/>
      <w:szCs w:val="44"/>
      <w:lang w:val="en-US" w:eastAsia="zh-CN" w:bidi="ar-SA"/>
    </w:rPr>
  </w:style>
  <w:style w:type="character" w:customStyle="1" w:styleId="22">
    <w:name w:val="标题 2 字符"/>
    <w:link w:val="4"/>
    <w:qFormat/>
    <w:uiPriority w:val="0"/>
    <w:rPr>
      <w:rFonts w:ascii="Arial" w:hAnsi="Arial" w:eastAsia="黑体"/>
      <w:b/>
      <w:bCs/>
      <w:kern w:val="2"/>
      <w:sz w:val="32"/>
      <w:szCs w:val="32"/>
    </w:rPr>
  </w:style>
  <w:style w:type="character" w:customStyle="1" w:styleId="23">
    <w:name w:val="标题 3 字符"/>
    <w:link w:val="5"/>
    <w:qFormat/>
    <w:uiPriority w:val="0"/>
    <w:rPr>
      <w:b/>
      <w:bCs/>
      <w:kern w:val="2"/>
      <w:sz w:val="32"/>
      <w:szCs w:val="32"/>
    </w:rPr>
  </w:style>
  <w:style w:type="character" w:customStyle="1" w:styleId="24">
    <w:name w:val="批注文字 字符"/>
    <w:link w:val="6"/>
    <w:qFormat/>
    <w:uiPriority w:val="0"/>
    <w:rPr>
      <w:kern w:val="2"/>
      <w:sz w:val="21"/>
      <w:szCs w:val="24"/>
    </w:rPr>
  </w:style>
  <w:style w:type="character" w:customStyle="1" w:styleId="25">
    <w:name w:val="页眉 字符"/>
    <w:link w:val="10"/>
    <w:qFormat/>
    <w:uiPriority w:val="0"/>
    <w:rPr>
      <w:kern w:val="2"/>
      <w:sz w:val="18"/>
      <w:szCs w:val="18"/>
    </w:rPr>
  </w:style>
  <w:style w:type="character" w:customStyle="1" w:styleId="26">
    <w:name w:val="批注主题 字符"/>
    <w:link w:val="13"/>
    <w:qFormat/>
    <w:uiPriority w:val="0"/>
    <w:rPr>
      <w:b/>
      <w:bCs/>
    </w:rPr>
  </w:style>
  <w:style w:type="character" w:customStyle="1" w:styleId="27">
    <w:name w:val="段 Char"/>
    <w:link w:val="28"/>
    <w:qFormat/>
    <w:uiPriority w:val="0"/>
    <w:rPr>
      <w:rFonts w:ascii="宋体"/>
      <w:sz w:val="21"/>
      <w:lang w:val="en-US" w:eastAsia="zh-CN" w:bidi="ar-SA"/>
    </w:rPr>
  </w:style>
  <w:style w:type="paragraph" w:customStyle="1" w:styleId="28">
    <w:name w:val="段"/>
    <w:link w:val="2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9">
    <w:name w:val="txtcontent11"/>
    <w:qFormat/>
    <w:uiPriority w:val="0"/>
    <w:rPr>
      <w:rFonts w:hint="default" w:ascii="ˎ̥" w:hAnsi="ˎ̥"/>
      <w:color w:val="000000"/>
      <w:sz w:val="21"/>
      <w:szCs w:val="21"/>
    </w:rPr>
  </w:style>
  <w:style w:type="paragraph" w:styleId="30">
    <w:name w:val="List Paragraph"/>
    <w:basedOn w:val="1"/>
    <w:qFormat/>
    <w:uiPriority w:val="0"/>
    <w:pPr>
      <w:ind w:firstLine="420" w:firstLineChars="200"/>
    </w:pPr>
  </w:style>
  <w:style w:type="paragraph" w:customStyle="1" w:styleId="31">
    <w:name w:val="列表段落1"/>
    <w:basedOn w:val="1"/>
    <w:qFormat/>
    <w:uiPriority w:val="0"/>
    <w:pPr>
      <w:ind w:firstLine="420" w:firstLineChars="200"/>
    </w:pPr>
    <w:rPr>
      <w:rFonts w:ascii="Calibri" w:hAnsi="Calibri"/>
      <w:szCs w:val="22"/>
    </w:rPr>
  </w:style>
  <w:style w:type="paragraph" w:customStyle="1" w:styleId="32">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34">
    <w:name w:val="1 Char"/>
    <w:basedOn w:val="1"/>
    <w:next w:val="1"/>
    <w:qFormat/>
    <w:uiPriority w:val="0"/>
    <w:pPr>
      <w:widowControl/>
      <w:spacing w:before="120" w:after="120"/>
      <w:jc w:val="left"/>
    </w:pPr>
    <w:rPr>
      <w:szCs w:val="20"/>
    </w:rPr>
  </w:style>
  <w:style w:type="paragraph" w:customStyle="1" w:styleId="3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WPSOffice手动目录 1"/>
    <w:qFormat/>
    <w:uiPriority w:val="0"/>
    <w:rPr>
      <w:rFonts w:ascii="Times New Roman" w:hAnsi="Times New Roman" w:eastAsia="宋体" w:cs="Times New Roman"/>
      <w:lang w:val="en-US" w:eastAsia="zh-CN" w:bidi="ar-SA"/>
    </w:rPr>
  </w:style>
  <w:style w:type="paragraph" w:customStyle="1" w:styleId="37">
    <w:name w:val="修订1"/>
    <w:qFormat/>
    <w:uiPriority w:val="99"/>
    <w:rPr>
      <w:rFonts w:ascii="Times New Roman" w:hAnsi="Times New Roman" w:eastAsia="宋体" w:cs="Times New Roman"/>
      <w:kern w:val="2"/>
      <w:sz w:val="21"/>
      <w:szCs w:val="24"/>
      <w:lang w:val="en-US" w:eastAsia="zh-CN" w:bidi="ar-SA"/>
    </w:rPr>
  </w:style>
  <w:style w:type="paragraph" w:customStyle="1" w:styleId="3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3f0c59ee-ef2a-4d53-b77f-cbb3ef890f28</errorID>
      <errorWord xmlns="http://schemas.wps.cn/vas-ai-hub/contract-review">计算机电脑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计算机</item>
      </candidateList>
      <explain xmlns="http://schemas.wps.cn/vas-ai-hub/contract-review"/>
      <paraID xmlns="http://schemas.wps.cn/vas-ai-hub/contract-review">6D15ED02</paraID>
      <start xmlns="http://schemas.wps.cn/vas-ai-hub/contract-review">12</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f6058b2b-6927-426b-abee-193f46e29081</errorID>
      <errorWord xmlns="http://schemas.wps.cn/vas-ai-hub/contract-review">信息安全</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》《信息安全</item>
      </candidateList>
      <explain xmlns="http://schemas.wps.cn/vas-ai-hub/contract-review"/>
      <paraID xmlns="http://schemas.wps.cn/vas-ai-hub/contract-review">73008A49</paraID>
      <start xmlns="http://schemas.wps.cn/vas-ai-hub/contract-review">30</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29cedaf4-4711-4e7b-b3a3-fabd76e8b03a</errorID>
      <errorWord xmlns="http://schemas.wps.cn/vas-ai-hub/contract-review">管理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信息</item>
      </candidateList>
      <explain xmlns="http://schemas.wps.cn/vas-ai-hub/contract-review"/>
      <paraID xmlns="http://schemas.wps.cn/vas-ai-hub/contract-review">6D4B6E59</paraID>
      <start xmlns="http://schemas.wps.cn/vas-ai-hub/contract-review">90</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7e2b5c09-b6c4-4fd2-a12c-8f1f7825dbb6</errorID>
      <errorWord xmlns="http://schemas.wps.cn/vas-ai-hub/contract-review">管理等功能点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信息等</item>
      </candidateList>
      <explain xmlns="http://schemas.wps.cn/vas-ai-hub/contract-review"/>
      <paraID xmlns="http://schemas.wps.cn/vas-ai-hub/contract-review">6D4B6E59</paraID>
      <start xmlns="http://schemas.wps.cn/vas-ai-hub/contract-review">97</start>
      <end xmlns="http://schemas.wps.cn/vas-ai-hub/contract-review">103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feacf595-6563-4a2d-a365-da08a2fb819b</errorID>
      <errorWord xmlns="http://schemas.wps.cn/vas-ai-hub/contract-review">等业务模块</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等</item>
      </candidateList>
      <explain xmlns="http://schemas.wps.cn/vas-ai-hub/contract-review"/>
      <paraID xmlns="http://schemas.wps.cn/vas-ai-hub/contract-review">6E1EB5C8</paraID>
      <start xmlns="http://schemas.wps.cn/vas-ai-hub/contract-review">79</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4ec859a2-0255-4ac7-8325-a18393b14ca6</errorID>
      <errorWord xmlns="http://schemas.wps.cn/vas-ai-hub/contract-review">提供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等提供</item>
      </candidateList>
      <explain xmlns="http://schemas.wps.cn/vas-ai-hub/contract-review"/>
      <paraID xmlns="http://schemas.wps.cn/vas-ai-hub/contract-review">2114B420</paraID>
      <start xmlns="http://schemas.wps.cn/vas-ai-hub/contract-review">79</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ec574e76-ed2e-4e5e-b2de-a0df983760f4</errorID>
      <errorWord xmlns="http://schemas.wps.cn/vas-ai-hub/contract-review">包括规定了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包括</item>
      </candidateList>
      <explain xmlns="http://schemas.wps.cn/vas-ai-hub/contract-review"/>
      <paraID xmlns="http://schemas.wps.cn/vas-ai-hub/contract-review">18206526</paraID>
      <start xmlns="http://schemas.wps.cn/vas-ai-hub/contract-review">19</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f88d202b-1a03-475a-92e2-2023156c0ba7</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10CB193D</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232fc0b9-4301-4065-bb80-df424fe7056b</errorID>
      <errorWord xmlns="http://schemas.wps.cn/vas-ai-hub/contract-review">涉及进行</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涉及</item>
      </candidateList>
      <explain xmlns="http://schemas.wps.cn/vas-ai-hub/contract-review"/>
      <paraID xmlns="http://schemas.wps.cn/vas-ai-hub/contract-review">142EC053</paraID>
      <start xmlns="http://schemas.wps.cn/vas-ai-hub/contract-review">4</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cacc8228-4cf5-4927-9565-15f8214dfb6d</errorID>
      <errorWord xmlns="http://schemas.wps.cn/vas-ai-hub/contract-review">国际</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国际标准或</item>
      </candidateList>
      <explain xmlns="http://schemas.wps.cn/vas-ai-hub/contract-review"/>
      <paraID xmlns="http://schemas.wps.cn/vas-ai-hub/contract-review">66242D66</paraID>
      <start xmlns="http://schemas.wps.cn/vas-ai-hub/contract-review">23</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7A417833-ABD6-4C8D-9B62-1AC6B4EB07A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5504</Words>
  <Characters>5671</Characters>
  <Lines>45</Lines>
  <Paragraphs>12</Paragraphs>
  <TotalTime>23</TotalTime>
  <ScaleCrop>false</ScaleCrop>
  <LinksUpToDate>false</LinksUpToDate>
  <CharactersWithSpaces>5738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2023-02-09T00:27:00Z</dcterms:created>
  <dc:creator>71</dc:creator>
  <cp:lastModifiedBy>coop</cp:lastModifiedBy>
  <cp:lastPrinted>2026-08-31T15:08:57Z</cp:lastPrinted>
  <dcterms:modified xsi:type="dcterms:W3CDTF">2026-08-31T15:11:12Z</dcterms:modified>
  <dc:title>《制表用纯钛板材》</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A128456A8721547DF227956A7BC53B15_43</vt:lpwstr>
  </property>
  <property fmtid="{D5CDD505-2E9C-101B-9397-08002B2CF9AE}" pid="4" name="KSOTemplateDocerSaveRecord">
    <vt:lpwstr>eyJoZGlkIjoiY2U4ODRjM2RiNjFkNmNlMTJmNjE3MDNiNzRjYmRiMjQiLCJ1c2VySWQiOiIyMzk5NTM2MjQifQ==</vt:lpwstr>
  </property>
</Properties>
</file>